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EE" w:rsidRPr="00E15EFF" w:rsidRDefault="00E15EFF" w:rsidP="00E15EFF">
      <w:pPr>
        <w:pStyle w:val="Heading1"/>
        <w:jc w:val="center"/>
        <w:rPr>
          <w:i/>
          <w:color w:val="00B050"/>
          <w:sz w:val="36"/>
        </w:rPr>
      </w:pPr>
      <w:r>
        <w:rPr>
          <w:noProof/>
          <w:lang w:eastAsia="lt-LT"/>
        </w:rPr>
        <w:drawing>
          <wp:anchor distT="0" distB="0" distL="114300" distR="114300" simplePos="0" relativeHeight="251658240" behindDoc="0" locked="0" layoutInCell="1" allowOverlap="1">
            <wp:simplePos x="0" y="0"/>
            <wp:positionH relativeFrom="margin">
              <wp:posOffset>-714375</wp:posOffset>
            </wp:positionH>
            <wp:positionV relativeFrom="margin">
              <wp:posOffset>-342900</wp:posOffset>
            </wp:positionV>
            <wp:extent cx="3096895" cy="1781175"/>
            <wp:effectExtent l="0" t="0" r="8255" b="9525"/>
            <wp:wrapSquare wrapText="bothSides"/>
            <wp:docPr id="4" name="Picture 4" descr="http://www.technologijos.lt/upload/image/n/mokslas/geografija/S-19237/Popul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logijos.lt/upload/image/n/mokslas/geografija/S-19237/Populatio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689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5EFF">
        <w:rPr>
          <w:i/>
          <w:color w:val="00B050"/>
          <w:sz w:val="36"/>
        </w:rPr>
        <w:t>Demografinė situacija</w:t>
      </w:r>
      <w:r w:rsidRPr="00E15EFF">
        <w:rPr>
          <w:i/>
          <w:color w:val="00B050"/>
          <w:sz w:val="36"/>
        </w:rPr>
        <w:t xml:space="preserve"> Radviliškio rajone</w:t>
      </w:r>
    </w:p>
    <w:p w:rsidR="00E15EFF" w:rsidRDefault="00E15EFF" w:rsidP="00E15EFF"/>
    <w:p w:rsidR="00E15EFF" w:rsidRDefault="00E15EFF" w:rsidP="00E15EFF">
      <w:pPr>
        <w:spacing w:after="0" w:line="360" w:lineRule="auto"/>
        <w:ind w:firstLine="720"/>
        <w:jc w:val="both"/>
        <w:rPr>
          <w:rFonts w:ascii="Times New Roman" w:hAnsi="Times New Roman"/>
          <w:sz w:val="24"/>
        </w:rPr>
      </w:pPr>
      <w:r>
        <w:rPr>
          <w:rFonts w:ascii="Times New Roman" w:hAnsi="Times New Roman"/>
          <w:sz w:val="24"/>
        </w:rPr>
        <w:t>Lietuvoje jau daugiau nei dešimtmetis mažėja gyventojų skaičius, kuriam įtakos turi mažėjantis gimstamumas, didėjantis mirtingumas ir žmonių išvykimas iš šalies. Gyventojų skaičiaus spartų mažėjimą lemia pasauliniu mastu pasklidusi ekonominė krizė, kuri sąlygojo įvairius pokyčius, smarkiai pakeitė emigracijos procesus šalyje bei Radviliškio rajone.</w:t>
      </w:r>
    </w:p>
    <w:p w:rsidR="00E15EFF" w:rsidRPr="00422393" w:rsidRDefault="00E15EFF" w:rsidP="00E15EFF">
      <w:pPr>
        <w:pStyle w:val="NormalWeb"/>
        <w:spacing w:before="0" w:line="360" w:lineRule="auto"/>
        <w:ind w:firstLine="720"/>
        <w:rPr>
          <w:color w:val="auto"/>
          <w:sz w:val="24"/>
          <w:szCs w:val="24"/>
        </w:rPr>
      </w:pPr>
      <w:r w:rsidRPr="00AB0F6E">
        <w:rPr>
          <w:color w:val="000000" w:themeColor="text1"/>
          <w:sz w:val="24"/>
        </w:rPr>
        <w:t>201</w:t>
      </w:r>
      <w:r>
        <w:rPr>
          <w:color w:val="000000" w:themeColor="text1"/>
          <w:sz w:val="24"/>
        </w:rPr>
        <w:t>5</w:t>
      </w:r>
      <w:r w:rsidRPr="00AB0F6E">
        <w:rPr>
          <w:color w:val="000000" w:themeColor="text1"/>
          <w:sz w:val="24"/>
        </w:rPr>
        <w:t xml:space="preserve"> metų pradžioje šalyje gyveno 2 </w:t>
      </w:r>
      <w:r>
        <w:rPr>
          <w:color w:val="000000" w:themeColor="text1"/>
          <w:sz w:val="24"/>
        </w:rPr>
        <w:t>921 262</w:t>
      </w:r>
      <w:r w:rsidRPr="00AB0F6E">
        <w:rPr>
          <w:color w:val="000000" w:themeColor="text1"/>
          <w:sz w:val="24"/>
        </w:rPr>
        <w:t xml:space="preserve"> gyventojai, tai yra </w:t>
      </w:r>
      <w:r>
        <w:rPr>
          <w:color w:val="000000" w:themeColor="text1"/>
          <w:sz w:val="24"/>
        </w:rPr>
        <w:t>22,2</w:t>
      </w:r>
      <w:r w:rsidRPr="00AB0F6E">
        <w:rPr>
          <w:color w:val="000000" w:themeColor="text1"/>
          <w:sz w:val="24"/>
        </w:rPr>
        <w:t xml:space="preserve"> tūkst. mažiau nei 201</w:t>
      </w:r>
      <w:r>
        <w:rPr>
          <w:color w:val="000000" w:themeColor="text1"/>
          <w:sz w:val="24"/>
        </w:rPr>
        <w:t>4</w:t>
      </w:r>
      <w:r w:rsidRPr="00AB0F6E">
        <w:rPr>
          <w:color w:val="000000" w:themeColor="text1"/>
          <w:sz w:val="24"/>
        </w:rPr>
        <w:t xml:space="preserve"> m</w:t>
      </w:r>
      <w:r>
        <w:rPr>
          <w:color w:val="000000" w:themeColor="text1"/>
          <w:sz w:val="24"/>
        </w:rPr>
        <w:t>.</w:t>
      </w:r>
      <w:r w:rsidRPr="00AB0F6E">
        <w:rPr>
          <w:color w:val="000000" w:themeColor="text1"/>
          <w:sz w:val="24"/>
        </w:rPr>
        <w:t xml:space="preserve"> pradžioje. Radviliškio rajone nuo 20</w:t>
      </w:r>
      <w:r>
        <w:rPr>
          <w:color w:val="000000" w:themeColor="text1"/>
          <w:sz w:val="24"/>
        </w:rPr>
        <w:t>10</w:t>
      </w:r>
      <w:r w:rsidRPr="00AB0F6E">
        <w:rPr>
          <w:color w:val="000000" w:themeColor="text1"/>
          <w:sz w:val="24"/>
        </w:rPr>
        <w:t xml:space="preserve"> m</w:t>
      </w:r>
      <w:r>
        <w:rPr>
          <w:color w:val="000000" w:themeColor="text1"/>
          <w:sz w:val="24"/>
        </w:rPr>
        <w:t>.</w:t>
      </w:r>
      <w:r w:rsidRPr="00AB0F6E">
        <w:rPr>
          <w:color w:val="000000" w:themeColor="text1"/>
          <w:sz w:val="24"/>
        </w:rPr>
        <w:t xml:space="preserve"> iki 201</w:t>
      </w:r>
      <w:r>
        <w:rPr>
          <w:color w:val="000000" w:themeColor="text1"/>
          <w:sz w:val="24"/>
        </w:rPr>
        <w:t>5</w:t>
      </w:r>
      <w:r w:rsidRPr="00AB0F6E">
        <w:rPr>
          <w:color w:val="000000" w:themeColor="text1"/>
          <w:sz w:val="24"/>
        </w:rPr>
        <w:t xml:space="preserve"> m</w:t>
      </w:r>
      <w:r>
        <w:rPr>
          <w:color w:val="000000" w:themeColor="text1"/>
          <w:sz w:val="24"/>
        </w:rPr>
        <w:t xml:space="preserve">. </w:t>
      </w:r>
      <w:r w:rsidRPr="00AB0F6E">
        <w:rPr>
          <w:color w:val="000000" w:themeColor="text1"/>
          <w:sz w:val="24"/>
        </w:rPr>
        <w:t>pradžios gyventojų skaičius sumažėjo</w:t>
      </w:r>
      <w:r>
        <w:rPr>
          <w:color w:val="000000" w:themeColor="text1"/>
          <w:sz w:val="24"/>
        </w:rPr>
        <w:t xml:space="preserve"> apie</w:t>
      </w:r>
      <w:r w:rsidRPr="00AB0F6E">
        <w:rPr>
          <w:color w:val="000000" w:themeColor="text1"/>
          <w:sz w:val="24"/>
        </w:rPr>
        <w:t xml:space="preserve"> </w:t>
      </w:r>
      <w:r>
        <w:rPr>
          <w:color w:val="000000" w:themeColor="text1"/>
          <w:sz w:val="24"/>
        </w:rPr>
        <w:t>5,5</w:t>
      </w:r>
      <w:r w:rsidRPr="00AB0F6E">
        <w:rPr>
          <w:color w:val="000000" w:themeColor="text1"/>
          <w:sz w:val="24"/>
        </w:rPr>
        <w:t xml:space="preserve"> tūkst. 201</w:t>
      </w:r>
      <w:r>
        <w:rPr>
          <w:color w:val="000000" w:themeColor="text1"/>
          <w:sz w:val="24"/>
        </w:rPr>
        <w:t>5</w:t>
      </w:r>
      <w:r w:rsidRPr="00AB0F6E">
        <w:rPr>
          <w:color w:val="000000" w:themeColor="text1"/>
          <w:sz w:val="24"/>
        </w:rPr>
        <w:t xml:space="preserve"> m</w:t>
      </w:r>
      <w:r>
        <w:rPr>
          <w:color w:val="000000" w:themeColor="text1"/>
          <w:sz w:val="24"/>
        </w:rPr>
        <w:t>. pradžioje rajone gyveno 39 043</w:t>
      </w:r>
      <w:r w:rsidRPr="00AB0F6E">
        <w:rPr>
          <w:color w:val="000000" w:themeColor="text1"/>
          <w:sz w:val="24"/>
        </w:rPr>
        <w:t xml:space="preserve"> gyventojai, tai yra </w:t>
      </w:r>
      <w:r>
        <w:rPr>
          <w:color w:val="000000" w:themeColor="text1"/>
          <w:sz w:val="24"/>
        </w:rPr>
        <w:t>646</w:t>
      </w:r>
      <w:r w:rsidRPr="00AB0F6E">
        <w:rPr>
          <w:color w:val="000000" w:themeColor="text1"/>
          <w:sz w:val="24"/>
        </w:rPr>
        <w:t xml:space="preserve"> gyventojais mažiau nei 201</w:t>
      </w:r>
      <w:r>
        <w:rPr>
          <w:color w:val="000000" w:themeColor="text1"/>
          <w:sz w:val="24"/>
        </w:rPr>
        <w:t>4</w:t>
      </w:r>
      <w:r w:rsidRPr="00AB0F6E">
        <w:rPr>
          <w:color w:val="000000" w:themeColor="text1"/>
          <w:sz w:val="24"/>
        </w:rPr>
        <w:t xml:space="preserve"> m</w:t>
      </w:r>
      <w:r>
        <w:rPr>
          <w:color w:val="000000" w:themeColor="text1"/>
          <w:sz w:val="24"/>
        </w:rPr>
        <w:t>.</w:t>
      </w:r>
      <w:r w:rsidRPr="00AB0F6E">
        <w:rPr>
          <w:color w:val="000000" w:themeColor="text1"/>
          <w:sz w:val="24"/>
        </w:rPr>
        <w:t xml:space="preserve"> pradžioje (žr. </w:t>
      </w:r>
      <w:r>
        <w:rPr>
          <w:color w:val="000000" w:themeColor="text1"/>
          <w:sz w:val="24"/>
        </w:rPr>
        <w:t>1</w:t>
      </w:r>
      <w:r w:rsidRPr="00AB0F6E">
        <w:rPr>
          <w:color w:val="000000" w:themeColor="text1"/>
          <w:sz w:val="24"/>
        </w:rPr>
        <w:t xml:space="preserve"> pav.).</w:t>
      </w:r>
      <w:r>
        <w:rPr>
          <w:sz w:val="24"/>
        </w:rPr>
        <w:t xml:space="preserve"> </w:t>
      </w:r>
      <w:r w:rsidRPr="00422393">
        <w:rPr>
          <w:color w:val="auto"/>
          <w:sz w:val="24"/>
        </w:rPr>
        <w:t>2014 m. vidutinis gyventojų skaičius buvo 39</w:t>
      </w:r>
      <w:r>
        <w:rPr>
          <w:color w:val="auto"/>
          <w:sz w:val="24"/>
        </w:rPr>
        <w:t xml:space="preserve"> </w:t>
      </w:r>
      <w:r w:rsidRPr="00422393">
        <w:rPr>
          <w:color w:val="auto"/>
          <w:sz w:val="24"/>
        </w:rPr>
        <w:t>366.</w:t>
      </w:r>
    </w:p>
    <w:p w:rsidR="00E15EFF" w:rsidRDefault="00E15EFF" w:rsidP="00E15EFF">
      <w:pPr>
        <w:pStyle w:val="NormalWeb"/>
        <w:spacing w:before="0" w:line="360" w:lineRule="auto"/>
        <w:ind w:firstLine="720"/>
        <w:rPr>
          <w:color w:val="auto"/>
          <w:sz w:val="24"/>
          <w:szCs w:val="24"/>
        </w:rPr>
      </w:pPr>
      <w:r>
        <w:rPr>
          <w:color w:val="auto"/>
          <w:sz w:val="24"/>
          <w:szCs w:val="24"/>
        </w:rPr>
        <w:drawing>
          <wp:inline distT="0" distB="0" distL="0" distR="0" wp14:anchorId="480A3134" wp14:editId="4A0E85CF">
            <wp:extent cx="5475605" cy="1781175"/>
            <wp:effectExtent l="19050" t="0" r="107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15EFF" w:rsidRPr="00AB0F6E" w:rsidRDefault="00E15EFF" w:rsidP="00E15EFF">
      <w:pPr>
        <w:pStyle w:val="NormalWeb"/>
        <w:spacing w:before="0"/>
        <w:ind w:firstLine="720"/>
        <w:jc w:val="center"/>
        <w:rPr>
          <w:color w:val="000000" w:themeColor="text1"/>
          <w:sz w:val="24"/>
          <w:szCs w:val="24"/>
        </w:rPr>
      </w:pPr>
      <w:r>
        <w:rPr>
          <w:b/>
          <w:color w:val="000000" w:themeColor="text1"/>
          <w:sz w:val="24"/>
          <w:szCs w:val="24"/>
        </w:rPr>
        <w:t>1</w:t>
      </w:r>
      <w:r w:rsidRPr="00AB0F6E">
        <w:rPr>
          <w:b/>
          <w:color w:val="000000" w:themeColor="text1"/>
          <w:sz w:val="24"/>
          <w:szCs w:val="24"/>
        </w:rPr>
        <w:t xml:space="preserve"> pav.</w:t>
      </w:r>
      <w:r w:rsidRPr="00AB0F6E">
        <w:rPr>
          <w:color w:val="000000" w:themeColor="text1"/>
          <w:sz w:val="24"/>
          <w:szCs w:val="24"/>
        </w:rPr>
        <w:t xml:space="preserve"> </w:t>
      </w:r>
      <w:r w:rsidRPr="00AB0F6E">
        <w:rPr>
          <w:b/>
          <w:color w:val="000000" w:themeColor="text1"/>
          <w:sz w:val="24"/>
          <w:szCs w:val="24"/>
        </w:rPr>
        <w:t xml:space="preserve">Gyventojų skaičius </w:t>
      </w:r>
      <w:r>
        <w:rPr>
          <w:b/>
          <w:color w:val="000000" w:themeColor="text1"/>
          <w:sz w:val="24"/>
          <w:szCs w:val="24"/>
        </w:rPr>
        <w:t>Radviliškio rajone</w:t>
      </w:r>
      <w:r w:rsidRPr="00AB0F6E">
        <w:rPr>
          <w:b/>
          <w:color w:val="000000" w:themeColor="text1"/>
          <w:sz w:val="24"/>
          <w:szCs w:val="24"/>
        </w:rPr>
        <w:t xml:space="preserve"> 20</w:t>
      </w:r>
      <w:r>
        <w:rPr>
          <w:b/>
          <w:color w:val="000000" w:themeColor="text1"/>
          <w:sz w:val="24"/>
          <w:szCs w:val="24"/>
        </w:rPr>
        <w:t>10</w:t>
      </w:r>
      <w:r w:rsidRPr="00AB0F6E">
        <w:rPr>
          <w:b/>
          <w:color w:val="000000" w:themeColor="text1"/>
          <w:sz w:val="24"/>
          <w:szCs w:val="24"/>
        </w:rPr>
        <w:t>-201</w:t>
      </w:r>
      <w:r>
        <w:rPr>
          <w:b/>
          <w:color w:val="000000" w:themeColor="text1"/>
          <w:sz w:val="24"/>
          <w:szCs w:val="24"/>
        </w:rPr>
        <w:t>5</w:t>
      </w:r>
      <w:r w:rsidRPr="00AB0F6E">
        <w:rPr>
          <w:b/>
          <w:color w:val="000000" w:themeColor="text1"/>
          <w:sz w:val="24"/>
          <w:szCs w:val="24"/>
        </w:rPr>
        <w:t xml:space="preserve"> m. pradžioje (abs. sk.)</w:t>
      </w:r>
      <w:r w:rsidRPr="00AB0F6E">
        <w:rPr>
          <w:b/>
          <w:color w:val="000000" w:themeColor="text1"/>
          <w:sz w:val="24"/>
          <w:szCs w:val="24"/>
        </w:rPr>
        <w:br/>
      </w:r>
      <w:r w:rsidRPr="00AB0F6E">
        <w:rPr>
          <w:i/>
          <w:color w:val="000000" w:themeColor="text1"/>
          <w:sz w:val="20"/>
          <w:szCs w:val="24"/>
        </w:rPr>
        <w:t>Šaltinis: Lietuvos statistikos departamentas</w:t>
      </w:r>
    </w:p>
    <w:p w:rsidR="00E15EFF" w:rsidRDefault="00E15EFF" w:rsidP="00E15EFF">
      <w:pPr>
        <w:spacing w:after="0" w:line="360" w:lineRule="auto"/>
        <w:ind w:firstLine="720"/>
        <w:jc w:val="both"/>
        <w:rPr>
          <w:rFonts w:ascii="Times New Roman" w:hAnsi="Times New Roman"/>
          <w:sz w:val="24"/>
        </w:rPr>
      </w:pPr>
    </w:p>
    <w:p w:rsidR="00E15EFF" w:rsidRDefault="00E15EFF" w:rsidP="00E15EFF">
      <w:pPr>
        <w:spacing w:after="0" w:line="360" w:lineRule="auto"/>
        <w:ind w:firstLine="720"/>
        <w:jc w:val="both"/>
        <w:rPr>
          <w:rFonts w:ascii="Times New Roman" w:hAnsi="Times New Roman"/>
          <w:sz w:val="24"/>
        </w:rPr>
      </w:pPr>
      <w:r>
        <w:rPr>
          <w:rFonts w:ascii="Times New Roman" w:hAnsi="Times New Roman"/>
          <w:sz w:val="24"/>
        </w:rPr>
        <w:t>2015 m. pradžioje Radviliškio rajone gyveno 20 759 moterys ir 18 284 vyrai (žr. 2 pav.). Moterys sudarė 53,2 proc. visų Radviliškio raj. gyventojų, 1 000-čiui vyrų teko 1 135 moterys.</w:t>
      </w:r>
    </w:p>
    <w:p w:rsidR="00E15EFF" w:rsidRDefault="00E15EFF" w:rsidP="00E15EFF">
      <w:pPr>
        <w:spacing w:after="0" w:line="360" w:lineRule="auto"/>
        <w:ind w:firstLine="720"/>
        <w:jc w:val="both"/>
        <w:rPr>
          <w:rFonts w:ascii="Times New Roman" w:hAnsi="Times New Roman"/>
          <w:sz w:val="24"/>
        </w:rPr>
      </w:pPr>
      <w:r>
        <w:rPr>
          <w:rFonts w:ascii="Times New Roman" w:hAnsi="Times New Roman"/>
          <w:noProof/>
          <w:sz w:val="24"/>
          <w:lang w:eastAsia="lt-LT"/>
        </w:rPr>
        <w:drawing>
          <wp:inline distT="0" distB="0" distL="0" distR="0" wp14:anchorId="2A3041F3" wp14:editId="185EC266">
            <wp:extent cx="5480050" cy="1819275"/>
            <wp:effectExtent l="19050" t="0" r="254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15EFF" w:rsidRDefault="00E15EFF" w:rsidP="00E15EFF">
      <w:pPr>
        <w:pStyle w:val="ListParagraph"/>
        <w:spacing w:line="240" w:lineRule="auto"/>
        <w:ind w:left="0"/>
        <w:jc w:val="center"/>
        <w:rPr>
          <w:i/>
          <w:sz w:val="20"/>
          <w:szCs w:val="20"/>
        </w:rPr>
      </w:pPr>
      <w:r>
        <w:rPr>
          <w:b/>
          <w:szCs w:val="24"/>
        </w:rPr>
        <w:t xml:space="preserve">2 </w:t>
      </w:r>
      <w:r w:rsidRPr="00F55CBB">
        <w:rPr>
          <w:b/>
          <w:szCs w:val="24"/>
        </w:rPr>
        <w:t xml:space="preserve">pav. </w:t>
      </w:r>
      <w:r>
        <w:rPr>
          <w:b/>
        </w:rPr>
        <w:t>Radviliškio rajono</w:t>
      </w:r>
      <w:r w:rsidRPr="00F55CBB">
        <w:rPr>
          <w:b/>
        </w:rPr>
        <w:t xml:space="preserve"> gyventojų skaičius</w:t>
      </w:r>
      <w:r>
        <w:rPr>
          <w:b/>
        </w:rPr>
        <w:t xml:space="preserve"> pagal lytį 2012</w:t>
      </w:r>
      <w:r w:rsidRPr="00F55CBB">
        <w:rPr>
          <w:b/>
        </w:rPr>
        <w:t>-201</w:t>
      </w:r>
      <w:r>
        <w:rPr>
          <w:b/>
        </w:rPr>
        <w:t>5</w:t>
      </w:r>
      <w:r w:rsidRPr="00F55CBB">
        <w:rPr>
          <w:b/>
        </w:rPr>
        <w:t xml:space="preserve"> m. pradžioje (abs. sk.)</w:t>
      </w:r>
      <w:r w:rsidRPr="00F55CBB">
        <w:rPr>
          <w:b/>
        </w:rPr>
        <w:br/>
      </w:r>
      <w:r w:rsidRPr="005E321F">
        <w:rPr>
          <w:i/>
          <w:sz w:val="20"/>
          <w:szCs w:val="20"/>
        </w:rPr>
        <w:t>Šaltinis: Lietuvos statistikos departamentas</w:t>
      </w:r>
    </w:p>
    <w:p w:rsidR="00E15EFF" w:rsidRDefault="00E15EFF" w:rsidP="00E15EFF">
      <w:pPr>
        <w:pStyle w:val="ListParagraph"/>
        <w:spacing w:after="0" w:line="360" w:lineRule="auto"/>
        <w:ind w:left="0" w:firstLine="720"/>
        <w:jc w:val="both"/>
      </w:pPr>
    </w:p>
    <w:p w:rsidR="00E15EFF" w:rsidRDefault="00E15EFF" w:rsidP="00E15EFF">
      <w:pPr>
        <w:pStyle w:val="ListParagraph"/>
        <w:spacing w:after="0" w:line="360" w:lineRule="auto"/>
        <w:ind w:left="0" w:firstLine="720"/>
        <w:jc w:val="both"/>
      </w:pPr>
      <w:r>
        <w:t>Radviliškio rajone, kaip ir visoje šalyje, daugiausiai yra darbingo amžiaus žmonių, jie sudaro 60,4 proc. visų gyventojų. 2015 m. pradžioje pensinio amžiaus žmonių buvo 9 242, tai yra 23,7 proc. visų Radviliškio rajono gyventojų. Vaikai (0-15 metų) sudarė 15,9 proc. (žr. 1 lentelė).</w:t>
      </w:r>
    </w:p>
    <w:p w:rsidR="00E15EFF" w:rsidRDefault="00E15EFF" w:rsidP="00E15EFF">
      <w:pPr>
        <w:pStyle w:val="ListParagraph"/>
        <w:spacing w:after="0" w:line="360" w:lineRule="auto"/>
        <w:ind w:left="0" w:firstLine="720"/>
        <w:jc w:val="right"/>
      </w:pPr>
      <w:r>
        <w:t>1 lentelė.</w:t>
      </w:r>
    </w:p>
    <w:p w:rsidR="00E15EFF" w:rsidRPr="005F0F73" w:rsidRDefault="00E15EFF" w:rsidP="00E15EFF">
      <w:pPr>
        <w:pStyle w:val="ListParagraph"/>
        <w:spacing w:after="0" w:line="240" w:lineRule="auto"/>
        <w:ind w:left="0" w:firstLine="720"/>
        <w:jc w:val="center"/>
        <w:rPr>
          <w:b/>
        </w:rPr>
      </w:pPr>
      <w:r w:rsidRPr="005F0F73">
        <w:rPr>
          <w:b/>
        </w:rPr>
        <w:t>Radviliškio rajono gyventojų pasiskirstymas amžiaus grupėse 201</w:t>
      </w:r>
      <w:r>
        <w:rPr>
          <w:b/>
        </w:rPr>
        <w:t>5</w:t>
      </w:r>
      <w:r w:rsidRPr="005F0F73">
        <w:rPr>
          <w:b/>
        </w:rPr>
        <w:t xml:space="preserve"> m. pradžioje (proc.)</w:t>
      </w:r>
    </w:p>
    <w:tbl>
      <w:tblPr>
        <w:tblStyle w:val="TableGrid"/>
        <w:tblW w:w="0" w:type="auto"/>
        <w:tblLook w:val="04A0" w:firstRow="1" w:lastRow="0" w:firstColumn="1" w:lastColumn="0" w:noHBand="0" w:noVBand="1"/>
      </w:tblPr>
      <w:tblGrid>
        <w:gridCol w:w="1668"/>
        <w:gridCol w:w="2551"/>
        <w:gridCol w:w="2693"/>
        <w:gridCol w:w="2942"/>
      </w:tblGrid>
      <w:tr w:rsidR="00E15EFF" w:rsidTr="0074688B">
        <w:tc>
          <w:tcPr>
            <w:tcW w:w="1668" w:type="dxa"/>
          </w:tcPr>
          <w:p w:rsidR="00E15EFF" w:rsidRPr="005F0F73" w:rsidRDefault="00E15EFF" w:rsidP="0074688B">
            <w:pPr>
              <w:pStyle w:val="ListParagraph"/>
              <w:ind w:left="0"/>
              <w:jc w:val="center"/>
              <w:rPr>
                <w:b/>
              </w:rPr>
            </w:pPr>
          </w:p>
        </w:tc>
        <w:tc>
          <w:tcPr>
            <w:tcW w:w="8186" w:type="dxa"/>
            <w:gridSpan w:val="3"/>
          </w:tcPr>
          <w:p w:rsidR="00E15EFF" w:rsidRPr="005F0F73" w:rsidRDefault="00E15EFF" w:rsidP="0074688B">
            <w:pPr>
              <w:pStyle w:val="ListParagraph"/>
              <w:ind w:left="0"/>
              <w:jc w:val="center"/>
              <w:rPr>
                <w:b/>
              </w:rPr>
            </w:pPr>
            <w:r w:rsidRPr="005F0F73">
              <w:rPr>
                <w:b/>
              </w:rPr>
              <w:t>Amžiaus grupės</w:t>
            </w:r>
          </w:p>
        </w:tc>
      </w:tr>
      <w:tr w:rsidR="00E15EFF" w:rsidTr="0074688B">
        <w:tc>
          <w:tcPr>
            <w:tcW w:w="1668" w:type="dxa"/>
          </w:tcPr>
          <w:p w:rsidR="00E15EFF" w:rsidRPr="005F0F73" w:rsidRDefault="00E15EFF" w:rsidP="0074688B">
            <w:pPr>
              <w:pStyle w:val="ListParagraph"/>
              <w:ind w:left="0"/>
              <w:jc w:val="center"/>
              <w:rPr>
                <w:b/>
              </w:rPr>
            </w:pPr>
            <w:r w:rsidRPr="005F0F73">
              <w:rPr>
                <w:b/>
              </w:rPr>
              <w:t>Metai</w:t>
            </w:r>
          </w:p>
        </w:tc>
        <w:tc>
          <w:tcPr>
            <w:tcW w:w="2551" w:type="dxa"/>
          </w:tcPr>
          <w:p w:rsidR="00E15EFF" w:rsidRPr="005F0F73" w:rsidRDefault="00E15EFF" w:rsidP="0074688B">
            <w:pPr>
              <w:pStyle w:val="ListParagraph"/>
              <w:ind w:left="0"/>
              <w:jc w:val="center"/>
              <w:rPr>
                <w:b/>
              </w:rPr>
            </w:pPr>
            <w:r w:rsidRPr="005F0F73">
              <w:rPr>
                <w:b/>
              </w:rPr>
              <w:t>Vaikai (0-15 metų)</w:t>
            </w:r>
          </w:p>
        </w:tc>
        <w:tc>
          <w:tcPr>
            <w:tcW w:w="2693" w:type="dxa"/>
          </w:tcPr>
          <w:p w:rsidR="00E15EFF" w:rsidRPr="005F0F73" w:rsidRDefault="00E15EFF" w:rsidP="0074688B">
            <w:pPr>
              <w:pStyle w:val="ListParagraph"/>
              <w:ind w:left="0"/>
              <w:jc w:val="center"/>
              <w:rPr>
                <w:b/>
              </w:rPr>
            </w:pPr>
            <w:r w:rsidRPr="005F0F73">
              <w:rPr>
                <w:b/>
              </w:rPr>
              <w:t>Darbingo amžiaus</w:t>
            </w:r>
          </w:p>
        </w:tc>
        <w:tc>
          <w:tcPr>
            <w:tcW w:w="2942" w:type="dxa"/>
          </w:tcPr>
          <w:p w:rsidR="00E15EFF" w:rsidRPr="005F0F73" w:rsidRDefault="00E15EFF" w:rsidP="0074688B">
            <w:pPr>
              <w:pStyle w:val="ListParagraph"/>
              <w:ind w:left="0"/>
              <w:jc w:val="center"/>
              <w:rPr>
                <w:b/>
              </w:rPr>
            </w:pPr>
            <w:r w:rsidRPr="005F0F73">
              <w:rPr>
                <w:b/>
              </w:rPr>
              <w:t>Pensinio amžiaus</w:t>
            </w:r>
          </w:p>
        </w:tc>
      </w:tr>
      <w:tr w:rsidR="00E15EFF" w:rsidTr="0074688B">
        <w:tc>
          <w:tcPr>
            <w:tcW w:w="1668" w:type="dxa"/>
          </w:tcPr>
          <w:p w:rsidR="00E15EFF" w:rsidRDefault="00E15EFF" w:rsidP="0074688B">
            <w:pPr>
              <w:pStyle w:val="ListParagraph"/>
              <w:ind w:left="0"/>
              <w:jc w:val="both"/>
            </w:pPr>
            <w:r>
              <w:t>2012</w:t>
            </w:r>
          </w:p>
        </w:tc>
        <w:tc>
          <w:tcPr>
            <w:tcW w:w="2551" w:type="dxa"/>
          </w:tcPr>
          <w:p w:rsidR="00E15EFF" w:rsidRDefault="00E15EFF" w:rsidP="0074688B">
            <w:pPr>
              <w:pStyle w:val="ListParagraph"/>
              <w:ind w:left="0"/>
              <w:jc w:val="center"/>
            </w:pPr>
            <w:r>
              <w:t>16,8</w:t>
            </w:r>
          </w:p>
        </w:tc>
        <w:tc>
          <w:tcPr>
            <w:tcW w:w="2693" w:type="dxa"/>
          </w:tcPr>
          <w:p w:rsidR="00E15EFF" w:rsidRDefault="00E15EFF" w:rsidP="0074688B">
            <w:pPr>
              <w:pStyle w:val="ListParagraph"/>
              <w:ind w:left="0"/>
              <w:jc w:val="center"/>
            </w:pPr>
            <w:r>
              <w:t>59,4</w:t>
            </w:r>
          </w:p>
        </w:tc>
        <w:tc>
          <w:tcPr>
            <w:tcW w:w="2942" w:type="dxa"/>
          </w:tcPr>
          <w:p w:rsidR="00E15EFF" w:rsidRDefault="00E15EFF" w:rsidP="0074688B">
            <w:pPr>
              <w:pStyle w:val="ListParagraph"/>
              <w:ind w:left="0"/>
              <w:jc w:val="center"/>
            </w:pPr>
            <w:r>
              <w:t>23,9</w:t>
            </w:r>
          </w:p>
        </w:tc>
      </w:tr>
      <w:tr w:rsidR="00E15EFF" w:rsidTr="0074688B">
        <w:trPr>
          <w:trHeight w:val="64"/>
        </w:trPr>
        <w:tc>
          <w:tcPr>
            <w:tcW w:w="1668" w:type="dxa"/>
          </w:tcPr>
          <w:p w:rsidR="00E15EFF" w:rsidRPr="00791096" w:rsidRDefault="00E15EFF" w:rsidP="0074688B">
            <w:pPr>
              <w:pStyle w:val="ListParagraph"/>
              <w:ind w:left="0"/>
              <w:jc w:val="both"/>
            </w:pPr>
            <w:r w:rsidRPr="00791096">
              <w:t>2013</w:t>
            </w:r>
          </w:p>
        </w:tc>
        <w:tc>
          <w:tcPr>
            <w:tcW w:w="2551" w:type="dxa"/>
          </w:tcPr>
          <w:p w:rsidR="00E15EFF" w:rsidRPr="00791096" w:rsidRDefault="00E15EFF" w:rsidP="0074688B">
            <w:pPr>
              <w:pStyle w:val="ListParagraph"/>
              <w:ind w:left="0"/>
              <w:jc w:val="center"/>
            </w:pPr>
            <w:r w:rsidRPr="00791096">
              <w:t>16,4</w:t>
            </w:r>
          </w:p>
        </w:tc>
        <w:tc>
          <w:tcPr>
            <w:tcW w:w="2693" w:type="dxa"/>
          </w:tcPr>
          <w:p w:rsidR="00E15EFF" w:rsidRPr="00791096" w:rsidRDefault="00E15EFF" w:rsidP="0074688B">
            <w:pPr>
              <w:pStyle w:val="ListParagraph"/>
              <w:ind w:left="0"/>
              <w:jc w:val="center"/>
            </w:pPr>
            <w:r w:rsidRPr="00791096">
              <w:t>59,8</w:t>
            </w:r>
          </w:p>
        </w:tc>
        <w:tc>
          <w:tcPr>
            <w:tcW w:w="2942" w:type="dxa"/>
          </w:tcPr>
          <w:p w:rsidR="00E15EFF" w:rsidRPr="00791096" w:rsidRDefault="00E15EFF" w:rsidP="0074688B">
            <w:pPr>
              <w:pStyle w:val="ListParagraph"/>
              <w:ind w:left="0"/>
              <w:jc w:val="center"/>
            </w:pPr>
            <w:r w:rsidRPr="00791096">
              <w:t>23,8</w:t>
            </w:r>
          </w:p>
        </w:tc>
      </w:tr>
      <w:tr w:rsidR="00E15EFF" w:rsidTr="0074688B">
        <w:tc>
          <w:tcPr>
            <w:tcW w:w="1668" w:type="dxa"/>
            <w:shd w:val="clear" w:color="auto" w:fill="auto"/>
          </w:tcPr>
          <w:p w:rsidR="00E15EFF" w:rsidRPr="00EF6993" w:rsidRDefault="00E15EFF" w:rsidP="0074688B">
            <w:pPr>
              <w:pStyle w:val="ListParagraph"/>
              <w:ind w:left="0"/>
              <w:jc w:val="both"/>
            </w:pPr>
            <w:r w:rsidRPr="00EF6993">
              <w:t>2014</w:t>
            </w:r>
          </w:p>
        </w:tc>
        <w:tc>
          <w:tcPr>
            <w:tcW w:w="2551" w:type="dxa"/>
            <w:shd w:val="clear" w:color="auto" w:fill="auto"/>
          </w:tcPr>
          <w:p w:rsidR="00E15EFF" w:rsidRPr="00EF6993" w:rsidRDefault="00E15EFF" w:rsidP="0074688B">
            <w:pPr>
              <w:pStyle w:val="ListParagraph"/>
              <w:ind w:left="0"/>
              <w:jc w:val="center"/>
            </w:pPr>
            <w:r w:rsidRPr="00EF6993">
              <w:t>16,2</w:t>
            </w:r>
          </w:p>
        </w:tc>
        <w:tc>
          <w:tcPr>
            <w:tcW w:w="2693" w:type="dxa"/>
            <w:shd w:val="clear" w:color="auto" w:fill="auto"/>
          </w:tcPr>
          <w:p w:rsidR="00E15EFF" w:rsidRPr="00EF6993" w:rsidRDefault="00E15EFF" w:rsidP="0074688B">
            <w:pPr>
              <w:pStyle w:val="ListParagraph"/>
              <w:ind w:left="0"/>
              <w:jc w:val="center"/>
            </w:pPr>
            <w:r w:rsidRPr="00EF6993">
              <w:t>60,2</w:t>
            </w:r>
          </w:p>
        </w:tc>
        <w:tc>
          <w:tcPr>
            <w:tcW w:w="2942" w:type="dxa"/>
            <w:shd w:val="clear" w:color="auto" w:fill="auto"/>
          </w:tcPr>
          <w:p w:rsidR="00E15EFF" w:rsidRPr="00EF6993" w:rsidRDefault="00E15EFF" w:rsidP="0074688B">
            <w:pPr>
              <w:pStyle w:val="ListParagraph"/>
              <w:ind w:left="0"/>
              <w:jc w:val="center"/>
            </w:pPr>
            <w:r w:rsidRPr="00EF6993">
              <w:t>23,7</w:t>
            </w:r>
          </w:p>
        </w:tc>
      </w:tr>
      <w:tr w:rsidR="00E15EFF" w:rsidRPr="005F0F73" w:rsidTr="0074688B">
        <w:tc>
          <w:tcPr>
            <w:tcW w:w="1668" w:type="dxa"/>
            <w:shd w:val="clear" w:color="auto" w:fill="FF7C80"/>
          </w:tcPr>
          <w:p w:rsidR="00E15EFF" w:rsidRPr="005F0F73" w:rsidRDefault="00E15EFF" w:rsidP="0074688B">
            <w:pPr>
              <w:pStyle w:val="ListParagraph"/>
              <w:ind w:left="0"/>
              <w:jc w:val="both"/>
              <w:rPr>
                <w:b/>
              </w:rPr>
            </w:pPr>
            <w:r>
              <w:rPr>
                <w:b/>
              </w:rPr>
              <w:t>2015</w:t>
            </w:r>
          </w:p>
        </w:tc>
        <w:tc>
          <w:tcPr>
            <w:tcW w:w="2551" w:type="dxa"/>
            <w:shd w:val="clear" w:color="auto" w:fill="FF7C80"/>
          </w:tcPr>
          <w:p w:rsidR="00E15EFF" w:rsidRPr="005F0F73" w:rsidRDefault="00E15EFF" w:rsidP="0074688B">
            <w:pPr>
              <w:pStyle w:val="ListParagraph"/>
              <w:ind w:left="0"/>
              <w:jc w:val="center"/>
              <w:rPr>
                <w:b/>
              </w:rPr>
            </w:pPr>
            <w:r>
              <w:rPr>
                <w:b/>
              </w:rPr>
              <w:t>15,9</w:t>
            </w:r>
          </w:p>
        </w:tc>
        <w:tc>
          <w:tcPr>
            <w:tcW w:w="2693" w:type="dxa"/>
            <w:shd w:val="clear" w:color="auto" w:fill="FF7C80"/>
          </w:tcPr>
          <w:p w:rsidR="00E15EFF" w:rsidRPr="005F0F73" w:rsidRDefault="00E15EFF" w:rsidP="0074688B">
            <w:pPr>
              <w:pStyle w:val="ListParagraph"/>
              <w:ind w:left="0"/>
              <w:jc w:val="center"/>
              <w:rPr>
                <w:b/>
              </w:rPr>
            </w:pPr>
            <w:r>
              <w:rPr>
                <w:b/>
              </w:rPr>
              <w:t>60,4</w:t>
            </w:r>
          </w:p>
        </w:tc>
        <w:tc>
          <w:tcPr>
            <w:tcW w:w="2942" w:type="dxa"/>
            <w:shd w:val="clear" w:color="auto" w:fill="FF7C80"/>
          </w:tcPr>
          <w:p w:rsidR="00E15EFF" w:rsidRPr="005F0F73" w:rsidRDefault="00E15EFF" w:rsidP="0074688B">
            <w:pPr>
              <w:pStyle w:val="ListParagraph"/>
              <w:ind w:left="0"/>
              <w:jc w:val="center"/>
              <w:rPr>
                <w:b/>
              </w:rPr>
            </w:pPr>
            <w:r>
              <w:rPr>
                <w:b/>
              </w:rPr>
              <w:t>23,7</w:t>
            </w:r>
          </w:p>
        </w:tc>
      </w:tr>
    </w:tbl>
    <w:p w:rsidR="00E15EFF" w:rsidRPr="005F0F73" w:rsidRDefault="00E15EFF" w:rsidP="00E15EFF">
      <w:pPr>
        <w:pStyle w:val="ListParagraph"/>
        <w:spacing w:after="0" w:line="360" w:lineRule="auto"/>
        <w:ind w:left="0" w:firstLine="720"/>
        <w:jc w:val="center"/>
        <w:rPr>
          <w:i/>
          <w:sz w:val="20"/>
        </w:rPr>
      </w:pPr>
      <w:r w:rsidRPr="005F0F73">
        <w:rPr>
          <w:i/>
          <w:sz w:val="20"/>
        </w:rPr>
        <w:t>Šaltinis: Lietuvos statistikos departamentas</w:t>
      </w:r>
    </w:p>
    <w:p w:rsidR="00E15EFF" w:rsidRDefault="00E15EFF" w:rsidP="00E15EFF">
      <w:pPr>
        <w:pStyle w:val="ListParagraph"/>
        <w:spacing w:after="0" w:line="360" w:lineRule="auto"/>
        <w:ind w:left="0" w:firstLine="720"/>
        <w:jc w:val="both"/>
      </w:pPr>
    </w:p>
    <w:p w:rsidR="00E15EFF" w:rsidRDefault="00E15EFF" w:rsidP="00E15EFF">
      <w:pPr>
        <w:spacing w:after="0" w:line="360" w:lineRule="auto"/>
        <w:ind w:firstLine="720"/>
        <w:jc w:val="both"/>
        <w:rPr>
          <w:rFonts w:ascii="Times New Roman" w:hAnsi="Times New Roman"/>
          <w:sz w:val="24"/>
          <w:szCs w:val="24"/>
        </w:rPr>
      </w:pPr>
      <w:r w:rsidRPr="00645730">
        <w:rPr>
          <w:rFonts w:ascii="Times New Roman" w:hAnsi="Times New Roman"/>
          <w:bCs/>
          <w:sz w:val="24"/>
          <w:szCs w:val="24"/>
        </w:rPr>
        <w:t>Demografinės senatvės koeficientas</w:t>
      </w:r>
      <w:r w:rsidRPr="002A7B69">
        <w:rPr>
          <w:rFonts w:ascii="Times New Roman" w:hAnsi="Times New Roman"/>
          <w:sz w:val="24"/>
          <w:szCs w:val="24"/>
        </w:rPr>
        <w:t xml:space="preserve"> - pagyvenusių (60 m. ir vyresnio amžiaus) žmonių skaiči</w:t>
      </w:r>
      <w:r>
        <w:rPr>
          <w:rFonts w:ascii="Times New Roman" w:hAnsi="Times New Roman"/>
          <w:sz w:val="24"/>
          <w:szCs w:val="24"/>
        </w:rPr>
        <w:t>us</w:t>
      </w:r>
      <w:r w:rsidRPr="002A7B69">
        <w:rPr>
          <w:rFonts w:ascii="Times New Roman" w:hAnsi="Times New Roman"/>
          <w:sz w:val="24"/>
          <w:szCs w:val="24"/>
        </w:rPr>
        <w:t>, tenkant</w:t>
      </w:r>
      <w:r>
        <w:rPr>
          <w:rFonts w:ascii="Times New Roman" w:hAnsi="Times New Roman"/>
          <w:sz w:val="24"/>
          <w:szCs w:val="24"/>
        </w:rPr>
        <w:t>is</w:t>
      </w:r>
      <w:r w:rsidRPr="002A7B69">
        <w:rPr>
          <w:rFonts w:ascii="Times New Roman" w:hAnsi="Times New Roman"/>
          <w:sz w:val="24"/>
          <w:szCs w:val="24"/>
        </w:rPr>
        <w:t xml:space="preserve"> šimtui vaikų iki 15 m. amžiaus. 20</w:t>
      </w:r>
      <w:r>
        <w:rPr>
          <w:rFonts w:ascii="Times New Roman" w:hAnsi="Times New Roman"/>
          <w:sz w:val="24"/>
          <w:szCs w:val="24"/>
        </w:rPr>
        <w:t>12</w:t>
      </w:r>
      <w:r w:rsidRPr="002A7B69">
        <w:rPr>
          <w:rFonts w:ascii="Times New Roman" w:hAnsi="Times New Roman"/>
          <w:sz w:val="24"/>
          <w:szCs w:val="24"/>
        </w:rPr>
        <w:t>–201</w:t>
      </w:r>
      <w:r>
        <w:rPr>
          <w:rFonts w:ascii="Times New Roman" w:hAnsi="Times New Roman"/>
          <w:sz w:val="24"/>
          <w:szCs w:val="24"/>
        </w:rPr>
        <w:t>5</w:t>
      </w:r>
      <w:r w:rsidRPr="002A7B69">
        <w:rPr>
          <w:rFonts w:ascii="Times New Roman" w:hAnsi="Times New Roman"/>
          <w:sz w:val="24"/>
          <w:szCs w:val="24"/>
        </w:rPr>
        <w:t xml:space="preserve"> m. laikotarpiu šis rodiklis augo. 201</w:t>
      </w:r>
      <w:r>
        <w:rPr>
          <w:rFonts w:ascii="Times New Roman" w:hAnsi="Times New Roman"/>
          <w:sz w:val="24"/>
          <w:szCs w:val="24"/>
        </w:rPr>
        <w:t>4</w:t>
      </w:r>
      <w:r w:rsidRPr="002A7B69">
        <w:rPr>
          <w:rFonts w:ascii="Times New Roman" w:hAnsi="Times New Roman"/>
          <w:sz w:val="24"/>
          <w:szCs w:val="24"/>
        </w:rPr>
        <w:t xml:space="preserve"> m. pradžioje šalyje </w:t>
      </w:r>
      <w:r w:rsidRPr="002A7B69">
        <w:rPr>
          <w:rFonts w:ascii="Times New Roman" w:hAnsi="Times New Roman"/>
          <w:bCs/>
          <w:sz w:val="24"/>
          <w:szCs w:val="24"/>
        </w:rPr>
        <w:t>demografinės senatvės</w:t>
      </w:r>
      <w:r w:rsidRPr="002A7B69">
        <w:rPr>
          <w:rFonts w:ascii="Times New Roman" w:hAnsi="Times New Roman"/>
          <w:sz w:val="24"/>
          <w:szCs w:val="24"/>
        </w:rPr>
        <w:t xml:space="preserve"> koeficientas siekė 1</w:t>
      </w:r>
      <w:r>
        <w:rPr>
          <w:rFonts w:ascii="Times New Roman" w:hAnsi="Times New Roman"/>
          <w:sz w:val="24"/>
          <w:szCs w:val="24"/>
        </w:rPr>
        <w:t>26</w:t>
      </w:r>
      <w:r w:rsidRPr="002A7B69">
        <w:rPr>
          <w:rFonts w:ascii="Times New Roman" w:hAnsi="Times New Roman"/>
          <w:sz w:val="24"/>
          <w:szCs w:val="24"/>
        </w:rPr>
        <w:t>, 201</w:t>
      </w:r>
      <w:r>
        <w:rPr>
          <w:rFonts w:ascii="Times New Roman" w:hAnsi="Times New Roman"/>
          <w:sz w:val="24"/>
          <w:szCs w:val="24"/>
        </w:rPr>
        <w:t xml:space="preserve">5 </w:t>
      </w:r>
      <w:r w:rsidRPr="002A7B69">
        <w:rPr>
          <w:rFonts w:ascii="Times New Roman" w:hAnsi="Times New Roman"/>
          <w:sz w:val="24"/>
          <w:szCs w:val="24"/>
        </w:rPr>
        <w:t xml:space="preserve">m. pradžioje – </w:t>
      </w:r>
      <w:r>
        <w:rPr>
          <w:rFonts w:ascii="Times New Roman" w:hAnsi="Times New Roman"/>
          <w:sz w:val="24"/>
          <w:szCs w:val="24"/>
        </w:rPr>
        <w:t>129</w:t>
      </w:r>
      <w:r w:rsidRPr="002A7B69">
        <w:rPr>
          <w:rFonts w:ascii="Times New Roman" w:hAnsi="Times New Roman"/>
          <w:sz w:val="24"/>
          <w:szCs w:val="24"/>
        </w:rPr>
        <w:t xml:space="preserve">. </w:t>
      </w:r>
      <w:r>
        <w:rPr>
          <w:rFonts w:ascii="Times New Roman" w:hAnsi="Times New Roman"/>
          <w:sz w:val="24"/>
          <w:szCs w:val="24"/>
        </w:rPr>
        <w:t>Radviliškio rajone</w:t>
      </w:r>
      <w:r w:rsidRPr="002A7B69">
        <w:rPr>
          <w:rFonts w:ascii="Times New Roman" w:hAnsi="Times New Roman"/>
          <w:sz w:val="24"/>
          <w:szCs w:val="24"/>
        </w:rPr>
        <w:t xml:space="preserve"> 201</w:t>
      </w:r>
      <w:r>
        <w:rPr>
          <w:rFonts w:ascii="Times New Roman" w:hAnsi="Times New Roman"/>
          <w:sz w:val="24"/>
          <w:szCs w:val="24"/>
        </w:rPr>
        <w:t>5</w:t>
      </w:r>
      <w:r w:rsidRPr="002A7B69">
        <w:rPr>
          <w:rFonts w:ascii="Times New Roman" w:hAnsi="Times New Roman"/>
          <w:sz w:val="24"/>
          <w:szCs w:val="24"/>
        </w:rPr>
        <w:t xml:space="preserve"> m. pradžioje šis rodiklis siekė 1</w:t>
      </w:r>
      <w:r>
        <w:rPr>
          <w:rFonts w:ascii="Times New Roman" w:hAnsi="Times New Roman"/>
          <w:sz w:val="24"/>
          <w:szCs w:val="24"/>
        </w:rPr>
        <w:t>37 ir viršijo Lietuvos koeficientą (žr. 3 pav.).</w:t>
      </w:r>
    </w:p>
    <w:p w:rsidR="00E15EFF" w:rsidRDefault="00E15EFF" w:rsidP="00E15EFF">
      <w:pPr>
        <w:spacing w:after="0" w:line="360" w:lineRule="auto"/>
        <w:ind w:firstLine="720"/>
        <w:jc w:val="center"/>
        <w:rPr>
          <w:rFonts w:ascii="Times New Roman" w:hAnsi="Times New Roman"/>
          <w:sz w:val="24"/>
          <w:szCs w:val="24"/>
        </w:rPr>
      </w:pPr>
      <w:r>
        <w:rPr>
          <w:rFonts w:ascii="Times New Roman" w:hAnsi="Times New Roman"/>
          <w:noProof/>
          <w:sz w:val="24"/>
          <w:szCs w:val="24"/>
          <w:lang w:eastAsia="lt-LT"/>
        </w:rPr>
        <w:drawing>
          <wp:inline distT="0" distB="0" distL="0" distR="0" wp14:anchorId="06548299" wp14:editId="7322DC41">
            <wp:extent cx="5553075" cy="182880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5EFF" w:rsidRDefault="00E15EFF" w:rsidP="00E15EFF">
      <w:pPr>
        <w:spacing w:after="0" w:line="240" w:lineRule="auto"/>
        <w:ind w:firstLine="720"/>
        <w:jc w:val="center"/>
        <w:rPr>
          <w:rFonts w:ascii="Times New Roman" w:hAnsi="Times New Roman"/>
          <w:sz w:val="24"/>
          <w:szCs w:val="24"/>
        </w:rPr>
      </w:pPr>
      <w:r w:rsidRPr="00FB1BAF">
        <w:rPr>
          <w:rFonts w:ascii="Times New Roman" w:hAnsi="Times New Roman"/>
          <w:b/>
          <w:sz w:val="24"/>
          <w:szCs w:val="24"/>
        </w:rPr>
        <w:t>3 pav.</w:t>
      </w:r>
      <w:r w:rsidRPr="00FB1BAF">
        <w:rPr>
          <w:rFonts w:ascii="Times New Roman" w:hAnsi="Times New Roman"/>
          <w:sz w:val="24"/>
          <w:szCs w:val="24"/>
        </w:rPr>
        <w:t xml:space="preserve"> </w:t>
      </w:r>
      <w:r w:rsidRPr="00FB1BAF">
        <w:rPr>
          <w:rFonts w:ascii="Times New Roman" w:hAnsi="Times New Roman"/>
          <w:b/>
          <w:sz w:val="24"/>
          <w:szCs w:val="24"/>
        </w:rPr>
        <w:t xml:space="preserve">Demografinės senatvės koeficientas </w:t>
      </w:r>
      <w:r w:rsidRPr="00FB1BAF">
        <w:rPr>
          <w:rFonts w:ascii="Times New Roman" w:hAnsi="Times New Roman"/>
          <w:b/>
          <w:bCs/>
          <w:sz w:val="24"/>
          <w:szCs w:val="24"/>
        </w:rPr>
        <w:t xml:space="preserve">Radviliškio rajone ir Lietuvos Respublikoje </w:t>
      </w:r>
      <w:r>
        <w:rPr>
          <w:rFonts w:ascii="Times New Roman" w:hAnsi="Times New Roman"/>
          <w:b/>
          <w:sz w:val="24"/>
          <w:szCs w:val="24"/>
        </w:rPr>
        <w:t>2012</w:t>
      </w:r>
      <w:r w:rsidRPr="00FB1BAF">
        <w:rPr>
          <w:rFonts w:ascii="Times New Roman" w:hAnsi="Times New Roman"/>
          <w:b/>
          <w:sz w:val="24"/>
          <w:szCs w:val="24"/>
        </w:rPr>
        <w:t>-201</w:t>
      </w:r>
      <w:r>
        <w:rPr>
          <w:rFonts w:ascii="Times New Roman" w:hAnsi="Times New Roman"/>
          <w:b/>
          <w:sz w:val="24"/>
          <w:szCs w:val="24"/>
        </w:rPr>
        <w:t>5</w:t>
      </w:r>
      <w:r w:rsidRPr="00FB1BAF">
        <w:rPr>
          <w:rFonts w:ascii="Times New Roman" w:hAnsi="Times New Roman"/>
          <w:b/>
          <w:sz w:val="24"/>
          <w:szCs w:val="24"/>
        </w:rPr>
        <w:t xml:space="preserve"> m. pradžioje</w:t>
      </w:r>
      <w:r w:rsidRPr="00454831">
        <w:rPr>
          <w:rFonts w:ascii="Times New Roman" w:hAnsi="Times New Roman"/>
          <w:b/>
          <w:bCs/>
          <w:sz w:val="24"/>
          <w:szCs w:val="24"/>
          <w:highlight w:val="green"/>
        </w:rPr>
        <w:br/>
      </w:r>
      <w:r w:rsidRPr="00FB1BAF">
        <w:rPr>
          <w:rFonts w:ascii="Times New Roman" w:hAnsi="Times New Roman"/>
          <w:i/>
          <w:sz w:val="20"/>
          <w:szCs w:val="24"/>
        </w:rPr>
        <w:t>Šaltinis: Lietuvos statistikos departamentas</w:t>
      </w:r>
    </w:p>
    <w:p w:rsidR="00E15EFF" w:rsidRDefault="00E15EFF" w:rsidP="00E15EFF">
      <w:pPr>
        <w:spacing w:after="0" w:line="360" w:lineRule="auto"/>
        <w:ind w:firstLine="720"/>
        <w:jc w:val="both"/>
        <w:rPr>
          <w:rFonts w:ascii="Times New Roman" w:hAnsi="Times New Roman"/>
          <w:sz w:val="28"/>
        </w:rPr>
      </w:pPr>
    </w:p>
    <w:p w:rsidR="00E15EFF" w:rsidRPr="004811BB" w:rsidRDefault="00E15EFF" w:rsidP="00E15EFF">
      <w:pPr>
        <w:spacing w:after="0" w:line="360" w:lineRule="auto"/>
        <w:ind w:firstLine="720"/>
        <w:contextualSpacing/>
        <w:jc w:val="both"/>
        <w:rPr>
          <w:rFonts w:ascii="Times New Roman" w:hAnsi="Times New Roman"/>
          <w:sz w:val="24"/>
        </w:rPr>
      </w:pPr>
      <w:r w:rsidRPr="004811BB">
        <w:rPr>
          <w:rFonts w:ascii="Times New Roman" w:hAnsi="Times New Roman"/>
          <w:sz w:val="24"/>
        </w:rPr>
        <w:t>Lietuvos statistikos departamento duomenimis, 201</w:t>
      </w:r>
      <w:r>
        <w:rPr>
          <w:rFonts w:ascii="Times New Roman" w:hAnsi="Times New Roman"/>
          <w:sz w:val="24"/>
        </w:rPr>
        <w:t>4</w:t>
      </w:r>
      <w:r w:rsidRPr="004811BB">
        <w:rPr>
          <w:rFonts w:ascii="Times New Roman" w:hAnsi="Times New Roman"/>
          <w:sz w:val="24"/>
        </w:rPr>
        <w:t xml:space="preserve"> m. iš šalies į užsienį išvyko </w:t>
      </w:r>
      <w:r>
        <w:rPr>
          <w:rFonts w:ascii="Times New Roman" w:hAnsi="Times New Roman"/>
          <w:sz w:val="24"/>
        </w:rPr>
        <w:t xml:space="preserve">36 621 </w:t>
      </w:r>
      <w:r w:rsidRPr="004811BB">
        <w:rPr>
          <w:rFonts w:ascii="Times New Roman" w:hAnsi="Times New Roman"/>
          <w:sz w:val="24"/>
        </w:rPr>
        <w:t xml:space="preserve">gyventojai, atvyko – </w:t>
      </w:r>
      <w:r>
        <w:rPr>
          <w:rFonts w:ascii="Times New Roman" w:hAnsi="Times New Roman"/>
          <w:sz w:val="24"/>
        </w:rPr>
        <w:t>24 294</w:t>
      </w:r>
      <w:r w:rsidRPr="004811BB">
        <w:rPr>
          <w:rFonts w:ascii="Times New Roman" w:hAnsi="Times New Roman"/>
          <w:sz w:val="24"/>
        </w:rPr>
        <w:t>, tarptautinė neto migracija buvo -</w:t>
      </w:r>
      <w:r>
        <w:rPr>
          <w:rFonts w:ascii="Times New Roman" w:hAnsi="Times New Roman"/>
          <w:sz w:val="24"/>
        </w:rPr>
        <w:t>12 327</w:t>
      </w:r>
      <w:r w:rsidRPr="004811BB">
        <w:rPr>
          <w:rFonts w:ascii="Times New Roman" w:hAnsi="Times New Roman"/>
          <w:sz w:val="24"/>
        </w:rPr>
        <w:t>.</w:t>
      </w:r>
      <w:r>
        <w:rPr>
          <w:rFonts w:ascii="Times New Roman" w:hAnsi="Times New Roman"/>
          <w:sz w:val="24"/>
        </w:rPr>
        <w:t xml:space="preserve"> </w:t>
      </w:r>
      <w:r w:rsidRPr="004811BB">
        <w:rPr>
          <w:rFonts w:ascii="Times New Roman" w:hAnsi="Times New Roman"/>
          <w:sz w:val="24"/>
        </w:rPr>
        <w:t xml:space="preserve">Iš </w:t>
      </w:r>
      <w:r>
        <w:rPr>
          <w:rFonts w:ascii="Times New Roman" w:hAnsi="Times New Roman"/>
          <w:sz w:val="24"/>
        </w:rPr>
        <w:t>Radviliškio</w:t>
      </w:r>
      <w:r w:rsidRPr="004811BB">
        <w:rPr>
          <w:rFonts w:ascii="Times New Roman" w:hAnsi="Times New Roman"/>
          <w:sz w:val="24"/>
        </w:rPr>
        <w:t xml:space="preserve"> rajono 201</w:t>
      </w:r>
      <w:r>
        <w:rPr>
          <w:rFonts w:ascii="Times New Roman" w:hAnsi="Times New Roman"/>
          <w:sz w:val="24"/>
        </w:rPr>
        <w:t>4</w:t>
      </w:r>
      <w:r w:rsidRPr="004811BB">
        <w:rPr>
          <w:rFonts w:ascii="Times New Roman" w:hAnsi="Times New Roman"/>
          <w:sz w:val="24"/>
        </w:rPr>
        <w:t xml:space="preserve"> m. į užsienį emigravo </w:t>
      </w:r>
      <w:r>
        <w:rPr>
          <w:rFonts w:ascii="Times New Roman" w:hAnsi="Times New Roman"/>
          <w:sz w:val="24"/>
        </w:rPr>
        <w:t>555 gyventojai, atvyko – 349, migracijos neto - -206 (žr. 4 pav.)</w:t>
      </w:r>
    </w:p>
    <w:p w:rsidR="00E15EFF" w:rsidRDefault="00E15EFF" w:rsidP="00E15EFF">
      <w:pPr>
        <w:jc w:val="center"/>
      </w:pPr>
      <w:r>
        <w:rPr>
          <w:noProof/>
          <w:lang w:eastAsia="lt-LT"/>
        </w:rPr>
        <w:lastRenderedPageBreak/>
        <w:drawing>
          <wp:inline distT="0" distB="0" distL="0" distR="0" wp14:anchorId="1B689E0E" wp14:editId="17843CE8">
            <wp:extent cx="5486400" cy="2076450"/>
            <wp:effectExtent l="19050" t="0" r="19050" b="0"/>
            <wp:docPr id="34"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5EFF" w:rsidRDefault="00E15EFF" w:rsidP="00E15EFF">
      <w:pPr>
        <w:jc w:val="center"/>
        <w:rPr>
          <w:rFonts w:ascii="Times New Roman" w:hAnsi="Times New Roman"/>
          <w:bCs/>
          <w:i/>
          <w:sz w:val="24"/>
          <w:szCs w:val="24"/>
        </w:rPr>
      </w:pPr>
      <w:r>
        <w:rPr>
          <w:rFonts w:ascii="Times New Roman" w:hAnsi="Times New Roman"/>
          <w:b/>
          <w:bCs/>
          <w:sz w:val="24"/>
          <w:szCs w:val="24"/>
        </w:rPr>
        <w:t>4</w:t>
      </w:r>
      <w:r w:rsidRPr="00697171">
        <w:rPr>
          <w:rFonts w:ascii="Times New Roman" w:hAnsi="Times New Roman"/>
          <w:b/>
          <w:bCs/>
          <w:sz w:val="24"/>
          <w:szCs w:val="24"/>
        </w:rPr>
        <w:t xml:space="preserve"> pav. Tarptautinė migracija </w:t>
      </w:r>
      <w:r>
        <w:rPr>
          <w:rFonts w:ascii="Times New Roman" w:hAnsi="Times New Roman"/>
          <w:b/>
          <w:bCs/>
          <w:sz w:val="24"/>
          <w:szCs w:val="24"/>
        </w:rPr>
        <w:t>Radviliškio rajone 2012</w:t>
      </w:r>
      <w:r w:rsidRPr="00697171">
        <w:rPr>
          <w:rFonts w:ascii="Times New Roman" w:hAnsi="Times New Roman"/>
          <w:b/>
          <w:bCs/>
          <w:sz w:val="24"/>
          <w:szCs w:val="24"/>
        </w:rPr>
        <w:t>–201</w:t>
      </w:r>
      <w:r>
        <w:rPr>
          <w:rFonts w:ascii="Times New Roman" w:hAnsi="Times New Roman"/>
          <w:b/>
          <w:bCs/>
          <w:sz w:val="24"/>
          <w:szCs w:val="24"/>
        </w:rPr>
        <w:t>4</w:t>
      </w:r>
      <w:r w:rsidRPr="00697171">
        <w:rPr>
          <w:rFonts w:ascii="Times New Roman" w:hAnsi="Times New Roman"/>
          <w:b/>
          <w:bCs/>
          <w:sz w:val="24"/>
          <w:szCs w:val="24"/>
        </w:rPr>
        <w:t xml:space="preserve"> m. (abs. sk.) </w:t>
      </w:r>
      <w:r w:rsidRPr="00697171">
        <w:rPr>
          <w:rFonts w:ascii="Times New Roman" w:hAnsi="Times New Roman"/>
          <w:b/>
          <w:bCs/>
          <w:sz w:val="24"/>
          <w:szCs w:val="24"/>
        </w:rPr>
        <w:br/>
      </w:r>
      <w:r w:rsidRPr="00DD048A">
        <w:rPr>
          <w:rFonts w:ascii="Times New Roman" w:hAnsi="Times New Roman"/>
          <w:bCs/>
          <w:i/>
          <w:sz w:val="20"/>
          <w:szCs w:val="24"/>
        </w:rPr>
        <w:t>Šaltinis: Lietuvos statistikos departamentas</w:t>
      </w:r>
    </w:p>
    <w:p w:rsidR="00E15EFF" w:rsidRDefault="00E15EFF" w:rsidP="00E15EFF">
      <w:pPr>
        <w:spacing w:after="0" w:line="360" w:lineRule="auto"/>
        <w:ind w:firstLine="720"/>
        <w:jc w:val="both"/>
        <w:rPr>
          <w:rFonts w:ascii="Times New Roman" w:hAnsi="Times New Roman"/>
          <w:sz w:val="24"/>
        </w:rPr>
      </w:pPr>
    </w:p>
    <w:p w:rsidR="00E15EFF" w:rsidRDefault="00E15EFF" w:rsidP="00E15EFF">
      <w:pPr>
        <w:spacing w:after="0" w:line="360" w:lineRule="auto"/>
        <w:ind w:firstLine="720"/>
        <w:jc w:val="both"/>
        <w:rPr>
          <w:rFonts w:ascii="Times New Roman" w:hAnsi="Times New Roman"/>
          <w:sz w:val="24"/>
        </w:rPr>
      </w:pPr>
      <w:r w:rsidRPr="00E4083C">
        <w:rPr>
          <w:rFonts w:ascii="Times New Roman" w:hAnsi="Times New Roman"/>
          <w:sz w:val="24"/>
        </w:rPr>
        <w:t>Nuo 2005 m. šalyje stabilizavosi gimstamumo rodiklis ir po truputį pradėjo didėti (8,9/1 000 gyv. 2005 m. iki 10,</w:t>
      </w:r>
      <w:r>
        <w:rPr>
          <w:rFonts w:ascii="Times New Roman" w:hAnsi="Times New Roman"/>
          <w:sz w:val="24"/>
        </w:rPr>
        <w:t>3</w:t>
      </w:r>
      <w:r w:rsidRPr="00E4083C">
        <w:rPr>
          <w:rFonts w:ascii="Times New Roman" w:hAnsi="Times New Roman"/>
          <w:sz w:val="24"/>
        </w:rPr>
        <w:t>/1 000 gyv. 201</w:t>
      </w:r>
      <w:r>
        <w:rPr>
          <w:rFonts w:ascii="Times New Roman" w:hAnsi="Times New Roman"/>
          <w:sz w:val="24"/>
        </w:rPr>
        <w:t>4</w:t>
      </w:r>
      <w:r w:rsidRPr="00E4083C">
        <w:rPr>
          <w:rFonts w:ascii="Times New Roman" w:hAnsi="Times New Roman"/>
          <w:sz w:val="24"/>
        </w:rPr>
        <w:t xml:space="preserve"> m.). Radviliškio rajono gimstamumo rodiklis </w:t>
      </w:r>
      <w:r>
        <w:rPr>
          <w:rFonts w:ascii="Times New Roman" w:hAnsi="Times New Roman"/>
          <w:sz w:val="24"/>
        </w:rPr>
        <w:t xml:space="preserve">nuo 2013 m. ėmė vėl mažėti </w:t>
      </w:r>
      <w:r w:rsidRPr="00E4083C">
        <w:rPr>
          <w:rFonts w:ascii="Times New Roman" w:hAnsi="Times New Roman"/>
          <w:sz w:val="24"/>
        </w:rPr>
        <w:t>ir 201</w:t>
      </w:r>
      <w:r>
        <w:rPr>
          <w:rFonts w:ascii="Times New Roman" w:hAnsi="Times New Roman"/>
          <w:sz w:val="24"/>
        </w:rPr>
        <w:t>4</w:t>
      </w:r>
      <w:r w:rsidRPr="00E4083C">
        <w:rPr>
          <w:rFonts w:ascii="Times New Roman" w:hAnsi="Times New Roman"/>
          <w:sz w:val="24"/>
        </w:rPr>
        <w:t xml:space="preserve"> m. siekė </w:t>
      </w:r>
      <w:r>
        <w:rPr>
          <w:rFonts w:ascii="Times New Roman" w:hAnsi="Times New Roman"/>
          <w:sz w:val="24"/>
        </w:rPr>
        <w:t>9,2</w:t>
      </w:r>
      <w:r w:rsidRPr="00E4083C">
        <w:rPr>
          <w:rFonts w:ascii="Times New Roman" w:hAnsi="Times New Roman"/>
          <w:sz w:val="24"/>
        </w:rPr>
        <w:t xml:space="preserve"> atvej</w:t>
      </w:r>
      <w:r>
        <w:rPr>
          <w:rFonts w:ascii="Times New Roman" w:hAnsi="Times New Roman"/>
          <w:sz w:val="24"/>
        </w:rPr>
        <w:t>us</w:t>
      </w:r>
      <w:r w:rsidRPr="00E4083C">
        <w:rPr>
          <w:rFonts w:ascii="Times New Roman" w:hAnsi="Times New Roman"/>
          <w:sz w:val="24"/>
        </w:rPr>
        <w:t xml:space="preserve"> 1 000 gyv.</w:t>
      </w:r>
      <w:r>
        <w:rPr>
          <w:rFonts w:ascii="Times New Roman" w:hAnsi="Times New Roman"/>
          <w:sz w:val="24"/>
        </w:rPr>
        <w:t xml:space="preserve"> (2013 m. – 10/1 000 gyv.) </w:t>
      </w:r>
      <w:r w:rsidRPr="00E4083C">
        <w:rPr>
          <w:rFonts w:ascii="Times New Roman" w:hAnsi="Times New Roman"/>
          <w:sz w:val="24"/>
        </w:rPr>
        <w:t>(žr.</w:t>
      </w:r>
      <w:r>
        <w:rPr>
          <w:rFonts w:ascii="Times New Roman" w:hAnsi="Times New Roman"/>
          <w:sz w:val="24"/>
        </w:rPr>
        <w:t xml:space="preserve"> </w:t>
      </w:r>
      <w:r w:rsidRPr="00E4083C">
        <w:rPr>
          <w:rFonts w:ascii="Times New Roman" w:hAnsi="Times New Roman"/>
          <w:sz w:val="24"/>
        </w:rPr>
        <w:t>5 pav.).</w:t>
      </w:r>
    </w:p>
    <w:p w:rsidR="00E15EFF" w:rsidRDefault="00E15EFF" w:rsidP="00E15EFF">
      <w:pPr>
        <w:spacing w:after="0" w:line="360" w:lineRule="auto"/>
        <w:contextualSpacing/>
        <w:jc w:val="center"/>
        <w:rPr>
          <w:szCs w:val="24"/>
        </w:rPr>
      </w:pPr>
      <w:r>
        <w:rPr>
          <w:noProof/>
          <w:szCs w:val="24"/>
          <w:lang w:eastAsia="lt-LT"/>
        </w:rPr>
        <w:drawing>
          <wp:inline distT="0" distB="0" distL="0" distR="0" wp14:anchorId="47213E23" wp14:editId="6159A4D9">
            <wp:extent cx="5956300" cy="1790700"/>
            <wp:effectExtent l="0" t="0" r="25400" b="19050"/>
            <wp:docPr id="62"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5EFF" w:rsidRDefault="00E15EFF" w:rsidP="00E15EFF">
      <w:pPr>
        <w:pStyle w:val="ListParagraph"/>
        <w:tabs>
          <w:tab w:val="left" w:pos="0"/>
        </w:tabs>
        <w:spacing w:after="0" w:line="240" w:lineRule="auto"/>
        <w:ind w:left="0"/>
        <w:jc w:val="center"/>
        <w:rPr>
          <w:b/>
          <w:sz w:val="20"/>
          <w:szCs w:val="20"/>
        </w:rPr>
      </w:pPr>
      <w:r>
        <w:rPr>
          <w:b/>
        </w:rPr>
        <w:t>5 pav. Gimstamumo dinamika Lietuvos R</w:t>
      </w:r>
      <w:r w:rsidRPr="00A50DBB">
        <w:rPr>
          <w:b/>
        </w:rPr>
        <w:t xml:space="preserve">espublikoje ir </w:t>
      </w:r>
      <w:r>
        <w:rPr>
          <w:b/>
        </w:rPr>
        <w:t>Radviliškio rajone 2005–2014</w:t>
      </w:r>
      <w:r w:rsidRPr="00A50DBB">
        <w:rPr>
          <w:b/>
        </w:rPr>
        <w:t xml:space="preserve"> m. </w:t>
      </w:r>
      <w:r w:rsidR="00C23360">
        <w:rPr>
          <w:b/>
        </w:rPr>
        <w:t xml:space="preserve">     </w:t>
      </w:r>
      <w:bookmarkStart w:id="0" w:name="_GoBack"/>
      <w:bookmarkEnd w:id="0"/>
      <w:r w:rsidRPr="00A50DBB">
        <w:rPr>
          <w:b/>
        </w:rPr>
        <w:t>(1 000 gyv.)</w:t>
      </w:r>
      <w:r>
        <w:rPr>
          <w:b/>
        </w:rPr>
        <w:br/>
      </w:r>
      <w:r w:rsidRPr="00E37F18">
        <w:rPr>
          <w:bCs/>
          <w:i/>
          <w:sz w:val="20"/>
        </w:rPr>
        <w:t xml:space="preserve">Šaltinis: </w:t>
      </w:r>
      <w:r w:rsidRPr="00DD048A">
        <w:rPr>
          <w:bCs/>
          <w:i/>
          <w:sz w:val="20"/>
          <w:szCs w:val="24"/>
        </w:rPr>
        <w:t>Lietuvos statistikos departamentas</w:t>
      </w:r>
    </w:p>
    <w:p w:rsidR="00E15EFF" w:rsidRDefault="00E15EFF" w:rsidP="00E15EFF">
      <w:pPr>
        <w:spacing w:after="0" w:line="360" w:lineRule="auto"/>
        <w:ind w:firstLine="720"/>
        <w:jc w:val="both"/>
        <w:rPr>
          <w:rFonts w:ascii="Times New Roman" w:hAnsi="Times New Roman"/>
          <w:sz w:val="24"/>
        </w:rPr>
      </w:pPr>
    </w:p>
    <w:p w:rsidR="00E15EFF" w:rsidRDefault="00E15EFF" w:rsidP="00E15EFF">
      <w:pPr>
        <w:spacing w:after="0" w:line="360" w:lineRule="auto"/>
        <w:ind w:firstLine="720"/>
        <w:jc w:val="both"/>
        <w:rPr>
          <w:rFonts w:ascii="Times New Roman" w:hAnsi="Times New Roman"/>
          <w:sz w:val="24"/>
          <w:szCs w:val="24"/>
        </w:rPr>
      </w:pPr>
      <w:r w:rsidRPr="0042274C">
        <w:rPr>
          <w:rFonts w:ascii="Times New Roman" w:hAnsi="Times New Roman"/>
          <w:sz w:val="24"/>
          <w:szCs w:val="24"/>
        </w:rPr>
        <w:t>Pastaraisiais dešimtmečiais įvykę Lietuvoje gimstamumo ir mirtingumo pokyčiai buvo susiję su šalies politine, ekonomine ir socialine raida.</w:t>
      </w:r>
      <w:r w:rsidRPr="0042274C">
        <w:rPr>
          <w:rFonts w:ascii="Times New Roman" w:hAnsi="Times New Roman"/>
          <w:sz w:val="24"/>
        </w:rPr>
        <w:t xml:space="preserve"> Radviliškio rajone nuo 2005 m. mirtingumas kito netolygiai, padidėjimai buvo</w:t>
      </w:r>
      <w:r>
        <w:rPr>
          <w:rFonts w:ascii="Times New Roman" w:hAnsi="Times New Roman"/>
          <w:sz w:val="24"/>
        </w:rPr>
        <w:t xml:space="preserve"> stebimas</w:t>
      </w:r>
      <w:r w:rsidRPr="0042274C">
        <w:rPr>
          <w:rFonts w:ascii="Times New Roman" w:hAnsi="Times New Roman"/>
          <w:sz w:val="24"/>
        </w:rPr>
        <w:t xml:space="preserve"> 20</w:t>
      </w:r>
      <w:r>
        <w:rPr>
          <w:rFonts w:ascii="Times New Roman" w:hAnsi="Times New Roman"/>
          <w:sz w:val="24"/>
        </w:rPr>
        <w:t>12-2013 m., atitinkamai 17,2 ir 17,5 atvejai 1 000 gyv. 2014 m. mirtingumas ėmė mažėti ir siekė – 15,9/1 000 gyv.</w:t>
      </w:r>
      <w:r w:rsidRPr="0042274C">
        <w:rPr>
          <w:rFonts w:ascii="Times New Roman" w:hAnsi="Times New Roman"/>
          <w:sz w:val="24"/>
        </w:rPr>
        <w:t xml:space="preserve"> Gimstamumas nuo 2005 m. taip pat kito netolygiai, didžiausias buvo </w:t>
      </w:r>
      <w:r>
        <w:rPr>
          <w:rFonts w:ascii="Times New Roman" w:hAnsi="Times New Roman"/>
          <w:sz w:val="24"/>
        </w:rPr>
        <w:t xml:space="preserve">užfiksuotas </w:t>
      </w:r>
      <w:r w:rsidRPr="0042274C">
        <w:rPr>
          <w:rFonts w:ascii="Times New Roman" w:hAnsi="Times New Roman"/>
          <w:sz w:val="24"/>
        </w:rPr>
        <w:t>2011 m. – 10,3/1 000 gyv.</w:t>
      </w:r>
      <w:r>
        <w:rPr>
          <w:rFonts w:ascii="Times New Roman" w:hAnsi="Times New Roman"/>
          <w:sz w:val="24"/>
        </w:rPr>
        <w:t xml:space="preserve">, </w:t>
      </w:r>
      <w:r w:rsidRPr="0042274C">
        <w:rPr>
          <w:rFonts w:ascii="Times New Roman" w:hAnsi="Times New Roman"/>
          <w:sz w:val="24"/>
        </w:rPr>
        <w:t>201</w:t>
      </w:r>
      <w:r>
        <w:rPr>
          <w:rFonts w:ascii="Times New Roman" w:hAnsi="Times New Roman"/>
          <w:sz w:val="24"/>
        </w:rPr>
        <w:t>3</w:t>
      </w:r>
      <w:r w:rsidRPr="0042274C">
        <w:rPr>
          <w:rFonts w:ascii="Times New Roman" w:hAnsi="Times New Roman"/>
          <w:sz w:val="24"/>
        </w:rPr>
        <w:t xml:space="preserve"> m. siekė 10 atvejo 1 000 gyv.</w:t>
      </w:r>
      <w:r>
        <w:rPr>
          <w:rFonts w:ascii="Times New Roman" w:hAnsi="Times New Roman"/>
          <w:sz w:val="24"/>
        </w:rPr>
        <w:t xml:space="preserve"> </w:t>
      </w:r>
      <w:r w:rsidRPr="0042274C">
        <w:rPr>
          <w:rFonts w:ascii="Times New Roman" w:hAnsi="Times New Roman"/>
          <w:sz w:val="24"/>
          <w:szCs w:val="24"/>
        </w:rPr>
        <w:t>(žr.</w:t>
      </w:r>
      <w:r>
        <w:rPr>
          <w:rFonts w:ascii="Times New Roman" w:hAnsi="Times New Roman"/>
          <w:sz w:val="24"/>
          <w:szCs w:val="24"/>
        </w:rPr>
        <w:t xml:space="preserve"> </w:t>
      </w:r>
      <w:r w:rsidRPr="0042274C">
        <w:rPr>
          <w:rFonts w:ascii="Times New Roman" w:hAnsi="Times New Roman"/>
          <w:sz w:val="24"/>
          <w:szCs w:val="24"/>
        </w:rPr>
        <w:t>6 pav.).</w:t>
      </w:r>
    </w:p>
    <w:p w:rsidR="00E15EFF" w:rsidRDefault="00E15EFF" w:rsidP="00E15EFF">
      <w:pPr>
        <w:spacing w:after="0" w:line="360" w:lineRule="auto"/>
        <w:jc w:val="center"/>
        <w:rPr>
          <w:szCs w:val="24"/>
        </w:rPr>
      </w:pPr>
      <w:r>
        <w:rPr>
          <w:noProof/>
          <w:szCs w:val="24"/>
          <w:lang w:eastAsia="lt-LT"/>
        </w:rPr>
        <w:lastRenderedPageBreak/>
        <w:drawing>
          <wp:inline distT="0" distB="0" distL="0" distR="0" wp14:anchorId="4715F465" wp14:editId="304D9F2F">
            <wp:extent cx="5485130" cy="2143125"/>
            <wp:effectExtent l="19050" t="0" r="20320" b="0"/>
            <wp:docPr id="6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5EFF" w:rsidRDefault="00E15EFF" w:rsidP="00E15EFF">
      <w:pPr>
        <w:pStyle w:val="ListParagraph"/>
        <w:tabs>
          <w:tab w:val="left" w:pos="0"/>
        </w:tabs>
        <w:spacing w:line="240" w:lineRule="auto"/>
        <w:ind w:left="0"/>
        <w:jc w:val="center"/>
        <w:rPr>
          <w:bCs/>
          <w:i/>
          <w:sz w:val="20"/>
          <w:szCs w:val="24"/>
        </w:rPr>
      </w:pPr>
      <w:r>
        <w:rPr>
          <w:b/>
          <w:szCs w:val="24"/>
        </w:rPr>
        <w:t>6</w:t>
      </w:r>
      <w:r w:rsidRPr="001315F8">
        <w:rPr>
          <w:b/>
          <w:szCs w:val="24"/>
        </w:rPr>
        <w:t xml:space="preserve"> pav. G</w:t>
      </w:r>
      <w:r>
        <w:rPr>
          <w:b/>
          <w:szCs w:val="24"/>
        </w:rPr>
        <w:t>imstamumo ir mirtingumo</w:t>
      </w:r>
      <w:r w:rsidRPr="001315F8">
        <w:rPr>
          <w:b/>
          <w:szCs w:val="24"/>
        </w:rPr>
        <w:t xml:space="preserve"> dinamika </w:t>
      </w:r>
      <w:r>
        <w:rPr>
          <w:b/>
          <w:bCs/>
          <w:szCs w:val="24"/>
        </w:rPr>
        <w:t>Radviliškio rajone</w:t>
      </w:r>
      <w:r>
        <w:rPr>
          <w:b/>
          <w:szCs w:val="24"/>
        </w:rPr>
        <w:br/>
      </w:r>
      <w:r w:rsidRPr="001315F8">
        <w:rPr>
          <w:b/>
          <w:szCs w:val="24"/>
        </w:rPr>
        <w:t>200</w:t>
      </w:r>
      <w:r>
        <w:rPr>
          <w:b/>
          <w:szCs w:val="24"/>
        </w:rPr>
        <w:t>5</w:t>
      </w:r>
      <w:r w:rsidRPr="001315F8">
        <w:rPr>
          <w:b/>
          <w:szCs w:val="24"/>
        </w:rPr>
        <w:t>-201</w:t>
      </w:r>
      <w:r>
        <w:rPr>
          <w:b/>
          <w:szCs w:val="24"/>
        </w:rPr>
        <w:t>4</w:t>
      </w:r>
      <w:r w:rsidRPr="001315F8">
        <w:rPr>
          <w:b/>
          <w:szCs w:val="24"/>
        </w:rPr>
        <w:t xml:space="preserve"> m.</w:t>
      </w:r>
      <w:r w:rsidRPr="001315F8">
        <w:rPr>
          <w:b/>
        </w:rPr>
        <w:t xml:space="preserve"> </w:t>
      </w:r>
      <w:r w:rsidRPr="00A50DBB">
        <w:rPr>
          <w:b/>
        </w:rPr>
        <w:t>(1 000 gyv.)</w:t>
      </w:r>
      <w:r>
        <w:rPr>
          <w:b/>
        </w:rPr>
        <w:br/>
      </w:r>
      <w:r w:rsidRPr="00E37F18">
        <w:rPr>
          <w:bCs/>
          <w:i/>
          <w:sz w:val="20"/>
        </w:rPr>
        <w:t xml:space="preserve">Šaltinis: </w:t>
      </w:r>
      <w:r w:rsidRPr="00DD048A">
        <w:rPr>
          <w:bCs/>
          <w:i/>
          <w:sz w:val="20"/>
          <w:szCs w:val="24"/>
        </w:rPr>
        <w:t>Lietuvos statistikos departamentas</w:t>
      </w:r>
    </w:p>
    <w:p w:rsidR="00E15EFF" w:rsidRDefault="00E15EFF" w:rsidP="00E15EFF">
      <w:pPr>
        <w:pStyle w:val="ListParagraph"/>
        <w:tabs>
          <w:tab w:val="left" w:pos="0"/>
        </w:tabs>
        <w:spacing w:line="240" w:lineRule="auto"/>
        <w:ind w:left="0"/>
        <w:jc w:val="center"/>
        <w:rPr>
          <w:b/>
          <w:sz w:val="20"/>
          <w:szCs w:val="20"/>
        </w:rPr>
      </w:pPr>
    </w:p>
    <w:p w:rsidR="00E15EFF" w:rsidRDefault="00E15EFF" w:rsidP="00E15EFF">
      <w:pPr>
        <w:spacing w:after="0" w:line="360" w:lineRule="auto"/>
        <w:ind w:firstLine="720"/>
        <w:jc w:val="both"/>
        <w:rPr>
          <w:rFonts w:ascii="Times New Roman" w:hAnsi="Times New Roman"/>
          <w:sz w:val="24"/>
          <w:szCs w:val="24"/>
        </w:rPr>
      </w:pPr>
      <w:r w:rsidRPr="004C7B6F">
        <w:rPr>
          <w:rFonts w:ascii="Times New Roman" w:hAnsi="Times New Roman"/>
          <w:bCs/>
          <w:iCs/>
          <w:sz w:val="24"/>
          <w:szCs w:val="24"/>
        </w:rPr>
        <w:t>Natūralus gyventojų prieaugis</w:t>
      </w:r>
      <w:r w:rsidRPr="004C7B6F">
        <w:rPr>
          <w:rFonts w:ascii="Times New Roman" w:hAnsi="Times New Roman"/>
          <w:b/>
          <w:bCs/>
          <w:i/>
          <w:iCs/>
          <w:sz w:val="24"/>
          <w:szCs w:val="24"/>
        </w:rPr>
        <w:t xml:space="preserve"> </w:t>
      </w:r>
      <w:r w:rsidRPr="004C7B6F">
        <w:rPr>
          <w:rFonts w:ascii="Times New Roman" w:hAnsi="Times New Roman"/>
          <w:sz w:val="24"/>
          <w:szCs w:val="24"/>
        </w:rPr>
        <w:t>– skirtumas tarp gimstamumo ir mirtingumo rodiklių.</w:t>
      </w:r>
      <w:r w:rsidRPr="004C7B6F">
        <w:rPr>
          <w:sz w:val="24"/>
          <w:szCs w:val="24"/>
        </w:rPr>
        <w:t xml:space="preserve"> </w:t>
      </w:r>
      <w:r w:rsidRPr="004C7B6F">
        <w:rPr>
          <w:rFonts w:ascii="Times New Roman" w:hAnsi="Times New Roman"/>
          <w:sz w:val="24"/>
          <w:szCs w:val="24"/>
        </w:rPr>
        <w:t>Šalyje 201</w:t>
      </w:r>
      <w:r>
        <w:rPr>
          <w:rFonts w:ascii="Times New Roman" w:hAnsi="Times New Roman"/>
          <w:sz w:val="24"/>
          <w:szCs w:val="24"/>
        </w:rPr>
        <w:t>4</w:t>
      </w:r>
      <w:r w:rsidRPr="004C7B6F">
        <w:rPr>
          <w:rFonts w:ascii="Times New Roman" w:hAnsi="Times New Roman"/>
          <w:sz w:val="24"/>
          <w:szCs w:val="24"/>
        </w:rPr>
        <w:t xml:space="preserve"> m</w:t>
      </w:r>
      <w:r>
        <w:rPr>
          <w:rFonts w:ascii="Times New Roman" w:hAnsi="Times New Roman"/>
          <w:sz w:val="24"/>
          <w:szCs w:val="24"/>
        </w:rPr>
        <w:t>.</w:t>
      </w:r>
      <w:r w:rsidRPr="004C7B6F">
        <w:rPr>
          <w:rFonts w:ascii="Times New Roman" w:hAnsi="Times New Roman"/>
          <w:sz w:val="24"/>
          <w:szCs w:val="24"/>
        </w:rPr>
        <w:t xml:space="preserve"> gimė </w:t>
      </w:r>
      <w:r w:rsidRPr="009D7E03">
        <w:rPr>
          <w:rFonts w:ascii="Times New Roman" w:hAnsi="Times New Roman"/>
          <w:sz w:val="24"/>
          <w:szCs w:val="16"/>
        </w:rPr>
        <w:t>30 369</w:t>
      </w:r>
      <w:r w:rsidRPr="009D7E03">
        <w:rPr>
          <w:rFonts w:ascii="Arial" w:hAnsi="Arial" w:cs="Arial"/>
          <w:sz w:val="24"/>
          <w:szCs w:val="16"/>
        </w:rPr>
        <w:t xml:space="preserve"> </w:t>
      </w:r>
      <w:r w:rsidRPr="004C7B6F">
        <w:rPr>
          <w:rFonts w:ascii="Times New Roman" w:hAnsi="Times New Roman"/>
          <w:sz w:val="24"/>
          <w:szCs w:val="24"/>
        </w:rPr>
        <w:t>vaikai (siekė 10,</w:t>
      </w:r>
      <w:r>
        <w:rPr>
          <w:rFonts w:ascii="Times New Roman" w:hAnsi="Times New Roman"/>
          <w:sz w:val="24"/>
          <w:szCs w:val="24"/>
        </w:rPr>
        <w:t>3</w:t>
      </w:r>
      <w:r w:rsidRPr="004C7B6F">
        <w:rPr>
          <w:rFonts w:ascii="Times New Roman" w:hAnsi="Times New Roman"/>
          <w:sz w:val="24"/>
          <w:szCs w:val="24"/>
        </w:rPr>
        <w:t xml:space="preserve"> atvejo 1 000 gyv.), o mirė – </w:t>
      </w:r>
      <w:r w:rsidRPr="009D7E03">
        <w:rPr>
          <w:rFonts w:ascii="Times New Roman" w:hAnsi="Times New Roman"/>
          <w:color w:val="000000"/>
          <w:sz w:val="24"/>
          <w:szCs w:val="16"/>
        </w:rPr>
        <w:t>40</w:t>
      </w:r>
      <w:r>
        <w:rPr>
          <w:rFonts w:ascii="Times New Roman" w:hAnsi="Times New Roman"/>
          <w:color w:val="000000"/>
          <w:sz w:val="24"/>
          <w:szCs w:val="16"/>
        </w:rPr>
        <w:t xml:space="preserve"> </w:t>
      </w:r>
      <w:r w:rsidRPr="009D7E03">
        <w:rPr>
          <w:rFonts w:ascii="Times New Roman" w:hAnsi="Times New Roman"/>
          <w:color w:val="000000"/>
          <w:sz w:val="24"/>
          <w:szCs w:val="16"/>
        </w:rPr>
        <w:t>252</w:t>
      </w:r>
      <w:r>
        <w:rPr>
          <w:rFonts w:ascii="Arial" w:hAnsi="Arial" w:cs="Arial"/>
          <w:color w:val="000000"/>
          <w:sz w:val="16"/>
          <w:szCs w:val="16"/>
        </w:rPr>
        <w:t xml:space="preserve"> </w:t>
      </w:r>
      <w:r w:rsidRPr="004C7B6F">
        <w:rPr>
          <w:rFonts w:ascii="Times New Roman" w:hAnsi="Times New Roman"/>
          <w:sz w:val="24"/>
          <w:szCs w:val="24"/>
        </w:rPr>
        <w:t>gyventojai, natūralus prieaugis - -3,</w:t>
      </w:r>
      <w:r>
        <w:rPr>
          <w:rFonts w:ascii="Times New Roman" w:hAnsi="Times New Roman"/>
          <w:sz w:val="24"/>
          <w:szCs w:val="24"/>
        </w:rPr>
        <w:t>4</w:t>
      </w:r>
      <w:r w:rsidRPr="004C7B6F">
        <w:rPr>
          <w:rFonts w:ascii="Times New Roman" w:hAnsi="Times New Roman"/>
          <w:sz w:val="24"/>
          <w:szCs w:val="24"/>
        </w:rPr>
        <w:t>. Radviliškio rajone 201</w:t>
      </w:r>
      <w:r>
        <w:rPr>
          <w:rFonts w:ascii="Times New Roman" w:hAnsi="Times New Roman"/>
          <w:sz w:val="24"/>
          <w:szCs w:val="24"/>
        </w:rPr>
        <w:t>4</w:t>
      </w:r>
      <w:r w:rsidRPr="004C7B6F">
        <w:rPr>
          <w:rFonts w:ascii="Times New Roman" w:hAnsi="Times New Roman"/>
          <w:sz w:val="24"/>
          <w:szCs w:val="24"/>
        </w:rPr>
        <w:t xml:space="preserve"> m. natūralus prieaugis siekė – - </w:t>
      </w:r>
      <w:r>
        <w:rPr>
          <w:rFonts w:ascii="Times New Roman" w:hAnsi="Times New Roman"/>
          <w:sz w:val="24"/>
          <w:szCs w:val="24"/>
        </w:rPr>
        <w:t>6,7</w:t>
      </w:r>
      <w:r w:rsidRPr="004C7B6F">
        <w:rPr>
          <w:rFonts w:ascii="Times New Roman" w:hAnsi="Times New Roman"/>
          <w:sz w:val="24"/>
          <w:szCs w:val="24"/>
        </w:rPr>
        <w:t xml:space="preserve">, gimė </w:t>
      </w:r>
      <w:r>
        <w:rPr>
          <w:rFonts w:ascii="Times New Roman" w:hAnsi="Times New Roman"/>
          <w:sz w:val="24"/>
          <w:szCs w:val="24"/>
        </w:rPr>
        <w:t>361</w:t>
      </w:r>
      <w:r w:rsidRPr="004C7B6F">
        <w:rPr>
          <w:rFonts w:ascii="Times New Roman" w:hAnsi="Times New Roman"/>
          <w:sz w:val="24"/>
          <w:szCs w:val="24"/>
        </w:rPr>
        <w:t xml:space="preserve"> vaikai ir mirė </w:t>
      </w:r>
      <w:r>
        <w:rPr>
          <w:rFonts w:ascii="Times New Roman" w:hAnsi="Times New Roman"/>
          <w:sz w:val="24"/>
          <w:szCs w:val="24"/>
        </w:rPr>
        <w:t>626</w:t>
      </w:r>
      <w:r w:rsidRPr="004C7B6F">
        <w:rPr>
          <w:rFonts w:ascii="Times New Roman" w:hAnsi="Times New Roman"/>
          <w:sz w:val="24"/>
          <w:szCs w:val="24"/>
        </w:rPr>
        <w:t xml:space="preserve"> gyventoja</w:t>
      </w:r>
      <w:r>
        <w:rPr>
          <w:rFonts w:ascii="Times New Roman" w:hAnsi="Times New Roman"/>
          <w:sz w:val="24"/>
          <w:szCs w:val="24"/>
        </w:rPr>
        <w:t>s</w:t>
      </w:r>
      <w:r w:rsidRPr="004C7B6F">
        <w:rPr>
          <w:rFonts w:ascii="Times New Roman" w:hAnsi="Times New Roman"/>
          <w:sz w:val="24"/>
          <w:szCs w:val="24"/>
        </w:rPr>
        <w:t xml:space="preserve"> (žr.7 pav.)</w:t>
      </w:r>
    </w:p>
    <w:p w:rsidR="00E15EFF" w:rsidRDefault="00E15EFF" w:rsidP="00E15EFF">
      <w:pPr>
        <w:spacing w:after="0" w:line="360" w:lineRule="auto"/>
        <w:jc w:val="center"/>
        <w:rPr>
          <w:szCs w:val="24"/>
        </w:rPr>
      </w:pPr>
      <w:r>
        <w:rPr>
          <w:noProof/>
          <w:szCs w:val="24"/>
          <w:lang w:eastAsia="lt-LT"/>
        </w:rPr>
        <w:drawing>
          <wp:inline distT="0" distB="0" distL="0" distR="0" wp14:anchorId="2CE09568" wp14:editId="3ED08DA0">
            <wp:extent cx="5486400" cy="2038350"/>
            <wp:effectExtent l="19050" t="0" r="19050" b="0"/>
            <wp:docPr id="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5EFF" w:rsidRDefault="00E15EFF" w:rsidP="00E15EFF">
      <w:pPr>
        <w:spacing w:after="0" w:line="240" w:lineRule="auto"/>
        <w:ind w:left="709" w:hanging="284"/>
        <w:jc w:val="center"/>
        <w:rPr>
          <w:rFonts w:ascii="Times New Roman" w:hAnsi="Times New Roman"/>
          <w:b/>
          <w:sz w:val="24"/>
          <w:szCs w:val="24"/>
        </w:rPr>
      </w:pPr>
      <w:r>
        <w:rPr>
          <w:rFonts w:ascii="Times New Roman" w:hAnsi="Times New Roman"/>
          <w:b/>
          <w:bCs/>
          <w:iCs/>
          <w:sz w:val="24"/>
          <w:szCs w:val="24"/>
        </w:rPr>
        <w:t>7</w:t>
      </w:r>
      <w:r w:rsidRPr="00F06E2A">
        <w:rPr>
          <w:rFonts w:ascii="Times New Roman" w:hAnsi="Times New Roman"/>
          <w:b/>
          <w:bCs/>
          <w:iCs/>
          <w:sz w:val="24"/>
          <w:szCs w:val="24"/>
        </w:rPr>
        <w:t xml:space="preserve"> pav. Natūralus gyventojų prieaugis</w:t>
      </w:r>
      <w:r w:rsidRPr="00F06E2A">
        <w:rPr>
          <w:rFonts w:ascii="Times New Roman" w:hAnsi="Times New Roman"/>
          <w:b/>
          <w:sz w:val="24"/>
          <w:szCs w:val="24"/>
        </w:rPr>
        <w:t xml:space="preserve"> </w:t>
      </w:r>
      <w:r>
        <w:rPr>
          <w:rFonts w:ascii="Times New Roman" w:hAnsi="Times New Roman"/>
          <w:b/>
          <w:sz w:val="24"/>
          <w:szCs w:val="24"/>
        </w:rPr>
        <w:t>Radviliškio rajone</w:t>
      </w:r>
      <w:r w:rsidRPr="00F06E2A">
        <w:rPr>
          <w:rFonts w:ascii="Times New Roman" w:hAnsi="Times New Roman"/>
          <w:b/>
          <w:sz w:val="24"/>
          <w:szCs w:val="24"/>
        </w:rPr>
        <w:t xml:space="preserve"> ir Lietuvos Respublikoje </w:t>
      </w:r>
    </w:p>
    <w:p w:rsidR="00E15EFF" w:rsidRPr="00F06E2A" w:rsidRDefault="00E15EFF" w:rsidP="00E15EFF">
      <w:pPr>
        <w:spacing w:after="0" w:line="240" w:lineRule="auto"/>
        <w:ind w:left="709" w:hanging="284"/>
        <w:jc w:val="center"/>
        <w:rPr>
          <w:rFonts w:ascii="Times New Roman" w:hAnsi="Times New Roman"/>
          <w:b/>
          <w:sz w:val="24"/>
          <w:szCs w:val="24"/>
        </w:rPr>
      </w:pPr>
      <w:r w:rsidRPr="00F06E2A">
        <w:rPr>
          <w:rFonts w:ascii="Times New Roman" w:hAnsi="Times New Roman"/>
          <w:b/>
          <w:sz w:val="24"/>
          <w:szCs w:val="24"/>
        </w:rPr>
        <w:t>201</w:t>
      </w:r>
      <w:r>
        <w:rPr>
          <w:rFonts w:ascii="Times New Roman" w:hAnsi="Times New Roman"/>
          <w:b/>
          <w:sz w:val="24"/>
          <w:szCs w:val="24"/>
        </w:rPr>
        <w:t>4</w:t>
      </w:r>
      <w:r w:rsidRPr="00F06E2A">
        <w:rPr>
          <w:rFonts w:ascii="Times New Roman" w:hAnsi="Times New Roman"/>
          <w:b/>
          <w:sz w:val="24"/>
          <w:szCs w:val="24"/>
        </w:rPr>
        <w:t xml:space="preserve"> m. (1 000 gyv.)</w:t>
      </w:r>
      <w:r w:rsidRPr="00F06E2A">
        <w:rPr>
          <w:rFonts w:ascii="Times New Roman" w:hAnsi="Times New Roman"/>
          <w:b/>
          <w:sz w:val="24"/>
          <w:szCs w:val="24"/>
        </w:rPr>
        <w:br/>
      </w:r>
      <w:r w:rsidRPr="00E37F18">
        <w:rPr>
          <w:rFonts w:ascii="Times New Roman" w:hAnsi="Times New Roman"/>
          <w:bCs/>
          <w:i/>
          <w:sz w:val="20"/>
        </w:rPr>
        <w:t xml:space="preserve">Šaltinis: </w:t>
      </w:r>
      <w:r w:rsidRPr="00E37F18">
        <w:rPr>
          <w:rFonts w:ascii="Times New Roman" w:hAnsi="Times New Roman"/>
          <w:i/>
          <w:sz w:val="20"/>
        </w:rPr>
        <w:t>Higienos institutas Sveikatos informacijos centras</w:t>
      </w:r>
    </w:p>
    <w:p w:rsidR="00E15EFF" w:rsidRDefault="00E15EFF" w:rsidP="00E15EFF">
      <w:pPr>
        <w:pStyle w:val="ListParagraph"/>
        <w:tabs>
          <w:tab w:val="left" w:pos="0"/>
        </w:tabs>
        <w:spacing w:after="0" w:line="360" w:lineRule="auto"/>
        <w:ind w:left="0" w:firstLine="720"/>
        <w:jc w:val="both"/>
      </w:pPr>
    </w:p>
    <w:p w:rsidR="00E15EFF" w:rsidRDefault="00E15EFF" w:rsidP="00E15EFF">
      <w:pPr>
        <w:pStyle w:val="ListParagraph"/>
        <w:spacing w:line="360" w:lineRule="auto"/>
        <w:ind w:left="0" w:firstLine="720"/>
        <w:jc w:val="both"/>
      </w:pPr>
      <w:r w:rsidRPr="00B40C9C">
        <w:t>Higienos instituto Sveikatos informacijos centro duomenimis, 2012 m. Radviliškio rajone daugiau mirė moterų nei vyrų. 2013 metais</w:t>
      </w:r>
      <w:r>
        <w:t xml:space="preserve"> stebimas</w:t>
      </w:r>
      <w:r w:rsidRPr="00B40C9C">
        <w:t xml:space="preserve"> vyrų mirtingum</w:t>
      </w:r>
      <w:r>
        <w:t>o</w:t>
      </w:r>
      <w:r w:rsidRPr="00B40C9C">
        <w:t xml:space="preserve"> padidėj</w:t>
      </w:r>
      <w:r>
        <w:t>imas,</w:t>
      </w:r>
      <w:r w:rsidRPr="00B40C9C">
        <w:t xml:space="preserve"> nuo 340 atvejų 2012 m. iki 374 atvejų</w:t>
      </w:r>
      <w:r>
        <w:t xml:space="preserve"> 2013 m.</w:t>
      </w:r>
      <w:r w:rsidRPr="00B40C9C">
        <w:t xml:space="preserve"> 201</w:t>
      </w:r>
      <w:r>
        <w:t>4</w:t>
      </w:r>
      <w:r w:rsidRPr="00B40C9C">
        <w:t xml:space="preserve"> m</w:t>
      </w:r>
      <w:r>
        <w:t>.</w:t>
      </w:r>
      <w:r w:rsidRPr="00B40C9C">
        <w:t xml:space="preserve"> mirė </w:t>
      </w:r>
      <w:r>
        <w:t>53 vyrais ir 22</w:t>
      </w:r>
      <w:r w:rsidRPr="00B40C9C">
        <w:t xml:space="preserve"> moterimis mažiau nei 201</w:t>
      </w:r>
      <w:r>
        <w:t>3</w:t>
      </w:r>
      <w:r w:rsidRPr="00B40C9C">
        <w:t xml:space="preserve"> m. (žr.</w:t>
      </w:r>
      <w:r>
        <w:t xml:space="preserve"> 8</w:t>
      </w:r>
      <w:r w:rsidRPr="00B40C9C">
        <w:t xml:space="preserve"> pav.).</w:t>
      </w:r>
    </w:p>
    <w:p w:rsidR="00E15EFF" w:rsidRDefault="00E15EFF" w:rsidP="00E15EFF">
      <w:pPr>
        <w:spacing w:after="0" w:line="360" w:lineRule="auto"/>
        <w:jc w:val="center"/>
      </w:pPr>
      <w:r>
        <w:rPr>
          <w:noProof/>
          <w:lang w:eastAsia="lt-LT"/>
        </w:rPr>
        <w:lastRenderedPageBreak/>
        <w:drawing>
          <wp:inline distT="0" distB="0" distL="0" distR="0" wp14:anchorId="61D5FA9B" wp14:editId="68FBF116">
            <wp:extent cx="5486400" cy="1695450"/>
            <wp:effectExtent l="0" t="0" r="19050" b="19050"/>
            <wp:docPr id="46"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5EFF" w:rsidRDefault="00E15EFF" w:rsidP="00E15EFF">
      <w:pPr>
        <w:jc w:val="center"/>
        <w:rPr>
          <w:rFonts w:ascii="Times New Roman" w:hAnsi="Times New Roman"/>
          <w:i/>
          <w:sz w:val="20"/>
        </w:rPr>
      </w:pPr>
      <w:r>
        <w:rPr>
          <w:rFonts w:ascii="Times New Roman" w:hAnsi="Times New Roman"/>
          <w:b/>
          <w:bCs/>
          <w:sz w:val="24"/>
          <w:szCs w:val="24"/>
        </w:rPr>
        <w:t>8</w:t>
      </w:r>
      <w:r w:rsidRPr="00B02AA1">
        <w:rPr>
          <w:rFonts w:ascii="Times New Roman" w:hAnsi="Times New Roman"/>
          <w:b/>
          <w:bCs/>
          <w:sz w:val="24"/>
          <w:szCs w:val="24"/>
        </w:rPr>
        <w:t xml:space="preserve"> pav. </w:t>
      </w:r>
      <w:r>
        <w:rPr>
          <w:rFonts w:ascii="Times New Roman" w:hAnsi="Times New Roman"/>
          <w:b/>
          <w:bCs/>
          <w:sz w:val="24"/>
          <w:szCs w:val="24"/>
        </w:rPr>
        <w:t>Radviliškio</w:t>
      </w:r>
      <w:r w:rsidRPr="00B02AA1">
        <w:rPr>
          <w:rFonts w:ascii="Times New Roman" w:hAnsi="Times New Roman"/>
          <w:b/>
          <w:bCs/>
          <w:sz w:val="24"/>
          <w:szCs w:val="24"/>
        </w:rPr>
        <w:t xml:space="preserve"> rajono vyrų ir </w:t>
      </w:r>
      <w:r>
        <w:rPr>
          <w:rFonts w:ascii="Times New Roman" w:hAnsi="Times New Roman"/>
          <w:b/>
          <w:bCs/>
          <w:sz w:val="24"/>
          <w:szCs w:val="24"/>
        </w:rPr>
        <w:t>moterų mirtingumo dinamika 2012</w:t>
      </w:r>
      <w:r w:rsidRPr="00B02AA1">
        <w:rPr>
          <w:rFonts w:ascii="Times New Roman" w:hAnsi="Times New Roman"/>
          <w:b/>
          <w:bCs/>
          <w:sz w:val="24"/>
          <w:szCs w:val="24"/>
        </w:rPr>
        <w:t>–201</w:t>
      </w:r>
      <w:r>
        <w:rPr>
          <w:rFonts w:ascii="Times New Roman" w:hAnsi="Times New Roman"/>
          <w:b/>
          <w:bCs/>
          <w:sz w:val="24"/>
          <w:szCs w:val="24"/>
        </w:rPr>
        <w:t>4</w:t>
      </w:r>
      <w:r w:rsidRPr="00B02AA1">
        <w:rPr>
          <w:rFonts w:ascii="Times New Roman" w:hAnsi="Times New Roman"/>
          <w:b/>
          <w:bCs/>
          <w:sz w:val="24"/>
          <w:szCs w:val="24"/>
        </w:rPr>
        <w:t xml:space="preserve"> m. (abs. sk.) </w:t>
      </w:r>
      <w:r w:rsidRPr="00B02AA1">
        <w:rPr>
          <w:rFonts w:ascii="Times New Roman" w:hAnsi="Times New Roman"/>
          <w:b/>
          <w:bCs/>
          <w:sz w:val="24"/>
          <w:szCs w:val="24"/>
        </w:rPr>
        <w:br/>
      </w:r>
      <w:r w:rsidRPr="00E37F18">
        <w:rPr>
          <w:rFonts w:ascii="Times New Roman" w:hAnsi="Times New Roman"/>
          <w:bCs/>
          <w:i/>
          <w:sz w:val="20"/>
        </w:rPr>
        <w:t xml:space="preserve">Šaltinis: </w:t>
      </w:r>
      <w:r w:rsidRPr="00E37F18">
        <w:rPr>
          <w:rFonts w:ascii="Times New Roman" w:hAnsi="Times New Roman"/>
          <w:i/>
          <w:sz w:val="20"/>
        </w:rPr>
        <w:t>Higienos institutas Sveikatos informacijos centras</w:t>
      </w:r>
    </w:p>
    <w:p w:rsidR="00E15EFF" w:rsidRPr="00444B9D" w:rsidRDefault="00E15EFF" w:rsidP="00E15EFF">
      <w:pPr>
        <w:jc w:val="center"/>
        <w:rPr>
          <w:rFonts w:ascii="Times New Roman" w:hAnsi="Times New Roman"/>
          <w:i/>
          <w:sz w:val="4"/>
        </w:rPr>
      </w:pPr>
    </w:p>
    <w:p w:rsidR="00E15EFF" w:rsidRPr="0044383F" w:rsidRDefault="00E15EFF" w:rsidP="00E15EFF">
      <w:pPr>
        <w:spacing w:after="0" w:line="360" w:lineRule="auto"/>
        <w:ind w:firstLine="720"/>
        <w:jc w:val="both"/>
        <w:rPr>
          <w:rFonts w:ascii="Times New Roman" w:hAnsi="Times New Roman"/>
          <w:b/>
          <w:bCs/>
          <w:sz w:val="28"/>
          <w:szCs w:val="24"/>
        </w:rPr>
      </w:pPr>
      <w:r>
        <w:rPr>
          <w:rFonts w:ascii="Times New Roman" w:hAnsi="Times New Roman"/>
          <w:sz w:val="24"/>
        </w:rPr>
        <w:t>Higienos instituto Sveikatos informacijos centro duomenimis, nuo 15 m. iki 74 m. amžiaus  vyrų mirtingumas yra didesnis už moterų, tai sąlygoja, kad šio amžiaus tarpsiu daugiausia vyrų miršta dėl išorinių mirties priežasčių (38 vyrai, 2 moterys) ir kraujotakos sistemos ligų (77 vyrai, 38 moterys). Nuo 75 m. moterų mirtingumas išauga 1,4 karto ir daugiausia jų miršta nuo kraujotakos sitemos ligų (žr. 9 pav.).</w:t>
      </w:r>
    </w:p>
    <w:p w:rsidR="00E15EFF" w:rsidRDefault="00E15EFF" w:rsidP="00E15EFF">
      <w:pPr>
        <w:spacing w:after="0" w:line="360" w:lineRule="auto"/>
        <w:ind w:firstLine="720"/>
        <w:jc w:val="both"/>
        <w:rPr>
          <w:rFonts w:ascii="Times New Roman" w:hAnsi="Times New Roman"/>
          <w:b/>
          <w:bCs/>
          <w:iCs/>
          <w:sz w:val="24"/>
          <w:szCs w:val="24"/>
        </w:rPr>
      </w:pPr>
      <w:r>
        <w:rPr>
          <w:rFonts w:ascii="Times New Roman" w:hAnsi="Times New Roman"/>
          <w:b/>
          <w:bCs/>
          <w:iCs/>
          <w:noProof/>
          <w:sz w:val="24"/>
          <w:szCs w:val="24"/>
          <w:lang w:eastAsia="lt-LT"/>
        </w:rPr>
        <w:drawing>
          <wp:inline distT="0" distB="0" distL="0" distR="0" wp14:anchorId="245CBE99" wp14:editId="1508B2C0">
            <wp:extent cx="5486400" cy="1962150"/>
            <wp:effectExtent l="0" t="0" r="19050" b="1905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5EFF" w:rsidRDefault="00E15EFF" w:rsidP="00E15EFF">
      <w:pPr>
        <w:spacing w:after="0" w:line="240" w:lineRule="auto"/>
        <w:ind w:firstLine="720"/>
        <w:jc w:val="center"/>
        <w:rPr>
          <w:rFonts w:ascii="Times New Roman" w:hAnsi="Times New Roman"/>
          <w:b/>
          <w:bCs/>
          <w:sz w:val="24"/>
          <w:szCs w:val="24"/>
        </w:rPr>
      </w:pPr>
      <w:r>
        <w:rPr>
          <w:rFonts w:ascii="Times New Roman" w:hAnsi="Times New Roman"/>
          <w:b/>
          <w:bCs/>
          <w:sz w:val="24"/>
          <w:szCs w:val="24"/>
        </w:rPr>
        <w:t>9</w:t>
      </w:r>
      <w:r w:rsidRPr="00B02AA1">
        <w:rPr>
          <w:rFonts w:ascii="Times New Roman" w:hAnsi="Times New Roman"/>
          <w:b/>
          <w:bCs/>
          <w:sz w:val="24"/>
          <w:szCs w:val="24"/>
        </w:rPr>
        <w:t xml:space="preserve"> pav. </w:t>
      </w:r>
      <w:r>
        <w:rPr>
          <w:rFonts w:ascii="Times New Roman" w:hAnsi="Times New Roman"/>
          <w:b/>
          <w:bCs/>
          <w:sz w:val="24"/>
          <w:szCs w:val="24"/>
        </w:rPr>
        <w:t>Radviliškio</w:t>
      </w:r>
      <w:r w:rsidRPr="00B02AA1">
        <w:rPr>
          <w:rFonts w:ascii="Times New Roman" w:hAnsi="Times New Roman"/>
          <w:b/>
          <w:bCs/>
          <w:sz w:val="24"/>
          <w:szCs w:val="24"/>
        </w:rPr>
        <w:t xml:space="preserve"> rajono vyrų ir </w:t>
      </w:r>
      <w:r>
        <w:rPr>
          <w:rFonts w:ascii="Times New Roman" w:hAnsi="Times New Roman"/>
          <w:b/>
          <w:bCs/>
          <w:sz w:val="24"/>
          <w:szCs w:val="24"/>
        </w:rPr>
        <w:t>moterų mirtingumas, atsižvelgiant į gyventojų metus 2014 m. (abs. sk.)</w:t>
      </w:r>
    </w:p>
    <w:p w:rsidR="00E15EFF" w:rsidRPr="00B02AA1" w:rsidRDefault="00E15EFF" w:rsidP="00E15EFF">
      <w:pPr>
        <w:jc w:val="center"/>
        <w:rPr>
          <w:rFonts w:ascii="Times New Roman" w:hAnsi="Times New Roman"/>
          <w:b/>
          <w:bCs/>
          <w:sz w:val="24"/>
          <w:szCs w:val="24"/>
        </w:rPr>
      </w:pPr>
      <w:r w:rsidRPr="00E37F18">
        <w:rPr>
          <w:rFonts w:ascii="Times New Roman" w:hAnsi="Times New Roman"/>
          <w:bCs/>
          <w:i/>
          <w:sz w:val="20"/>
        </w:rPr>
        <w:t xml:space="preserve">Šaltinis: </w:t>
      </w:r>
      <w:r w:rsidRPr="00E37F18">
        <w:rPr>
          <w:rFonts w:ascii="Times New Roman" w:hAnsi="Times New Roman"/>
          <w:i/>
          <w:sz w:val="20"/>
        </w:rPr>
        <w:t>Higienos institutas Sveikatos informacijos centras</w:t>
      </w:r>
    </w:p>
    <w:p w:rsidR="00E15EFF" w:rsidRDefault="00E15EFF" w:rsidP="00E15EFF">
      <w:pPr>
        <w:spacing w:after="0" w:line="240" w:lineRule="auto"/>
        <w:ind w:firstLine="720"/>
        <w:jc w:val="center"/>
        <w:rPr>
          <w:rFonts w:ascii="Times New Roman" w:hAnsi="Times New Roman"/>
          <w:b/>
          <w:bCs/>
          <w:iCs/>
          <w:sz w:val="24"/>
          <w:szCs w:val="24"/>
        </w:rPr>
      </w:pPr>
    </w:p>
    <w:p w:rsidR="00E15EFF" w:rsidRPr="008E6189" w:rsidRDefault="00E15EFF" w:rsidP="00E15EFF">
      <w:pPr>
        <w:spacing w:after="0" w:line="360" w:lineRule="auto"/>
        <w:ind w:firstLine="720"/>
        <w:jc w:val="both"/>
        <w:rPr>
          <w:rFonts w:ascii="Times New Roman" w:hAnsi="Times New Roman"/>
          <w:sz w:val="24"/>
        </w:rPr>
      </w:pPr>
      <w:r w:rsidRPr="00E37F18">
        <w:rPr>
          <w:rFonts w:ascii="Times New Roman" w:hAnsi="Times New Roman"/>
          <w:sz w:val="24"/>
        </w:rPr>
        <w:t>Vertinant gyventojų sveikatą labai svarbus rodiklis yra kūdikių iki 1 metų mirtingumas, kuris realiai atspindi šalies socialinę – ekonominę situaciją bei sveikatos priežiūros kokybę.</w:t>
      </w:r>
      <w:r w:rsidRPr="00E37F18">
        <w:rPr>
          <w:rFonts w:ascii="Times New Roman" w:hAnsi="Times New Roman"/>
          <w:sz w:val="24"/>
          <w:szCs w:val="24"/>
        </w:rPr>
        <w:t xml:space="preserve"> Vaiko mirties tikimybė pirmaisiais jo gyvenimo metais nėra vienoda. Ji ypač didelė pirmosiomis gyvenimo dienomis ir pirmą mėnesį. </w:t>
      </w:r>
      <w:r>
        <w:rPr>
          <w:rFonts w:ascii="Times New Roman" w:hAnsi="Times New Roman"/>
          <w:sz w:val="24"/>
        </w:rPr>
        <w:t>Higienos instituto Sveikatos informacijos centro duomenimis</w:t>
      </w:r>
      <w:r w:rsidRPr="00E37F18">
        <w:rPr>
          <w:rFonts w:ascii="Times New Roman" w:hAnsi="Times New Roman"/>
          <w:sz w:val="24"/>
        </w:rPr>
        <w:t>, Radviliškio rajone kūdikių iki 1 metų mirtingumas 201</w:t>
      </w:r>
      <w:r>
        <w:rPr>
          <w:rFonts w:ascii="Times New Roman" w:hAnsi="Times New Roman"/>
          <w:sz w:val="24"/>
        </w:rPr>
        <w:t>2</w:t>
      </w:r>
      <w:r w:rsidRPr="00E37F18">
        <w:rPr>
          <w:rFonts w:ascii="Times New Roman" w:hAnsi="Times New Roman"/>
          <w:sz w:val="24"/>
        </w:rPr>
        <w:t xml:space="preserve"> m. siekė </w:t>
      </w:r>
      <w:r>
        <w:rPr>
          <w:rFonts w:ascii="Times New Roman" w:hAnsi="Times New Roman"/>
          <w:sz w:val="24"/>
        </w:rPr>
        <w:t>11,3 atvejo 1 000 gim.,</w:t>
      </w:r>
      <w:r w:rsidRPr="00E37F18">
        <w:rPr>
          <w:rFonts w:ascii="Times New Roman" w:hAnsi="Times New Roman"/>
          <w:sz w:val="24"/>
        </w:rPr>
        <w:t xml:space="preserve"> 2013 m. mirė 3 kūdikiai ir sudarė 7,5 atvejo 1 000 gimusiųjų</w:t>
      </w:r>
      <w:r>
        <w:rPr>
          <w:rFonts w:ascii="Times New Roman" w:hAnsi="Times New Roman"/>
          <w:sz w:val="24"/>
        </w:rPr>
        <w:t>. 2014 m. kūdikių mirtingumas sumažėjo ir siekė 2,8 atvejo 1 000 gimusiųjų.</w:t>
      </w:r>
      <w:r w:rsidRPr="00E37F18">
        <w:rPr>
          <w:rFonts w:ascii="Times New Roman" w:hAnsi="Times New Roman"/>
          <w:sz w:val="24"/>
        </w:rPr>
        <w:t xml:space="preserve"> Šalyje kūdikių mirtingumas žymiai nekito, 201</w:t>
      </w:r>
      <w:r>
        <w:rPr>
          <w:rFonts w:ascii="Times New Roman" w:hAnsi="Times New Roman"/>
          <w:sz w:val="24"/>
        </w:rPr>
        <w:t>4</w:t>
      </w:r>
      <w:r w:rsidRPr="00E37F18">
        <w:rPr>
          <w:rFonts w:ascii="Times New Roman" w:hAnsi="Times New Roman"/>
          <w:sz w:val="24"/>
        </w:rPr>
        <w:t xml:space="preserve"> m</w:t>
      </w:r>
      <w:r>
        <w:rPr>
          <w:rFonts w:ascii="Times New Roman" w:hAnsi="Times New Roman"/>
          <w:sz w:val="24"/>
        </w:rPr>
        <w:t>.</w:t>
      </w:r>
      <w:r w:rsidRPr="00E37F18">
        <w:rPr>
          <w:rFonts w:ascii="Times New Roman" w:hAnsi="Times New Roman"/>
          <w:sz w:val="24"/>
        </w:rPr>
        <w:t xml:space="preserve"> šal</w:t>
      </w:r>
      <w:r>
        <w:rPr>
          <w:rFonts w:ascii="Times New Roman" w:hAnsi="Times New Roman"/>
          <w:sz w:val="24"/>
        </w:rPr>
        <w:t>y</w:t>
      </w:r>
      <w:r w:rsidRPr="00E37F18">
        <w:rPr>
          <w:rFonts w:ascii="Times New Roman" w:hAnsi="Times New Roman"/>
          <w:sz w:val="24"/>
        </w:rPr>
        <w:t>je mirė 11</w:t>
      </w:r>
      <w:r>
        <w:rPr>
          <w:rFonts w:ascii="Times New Roman" w:hAnsi="Times New Roman"/>
          <w:sz w:val="24"/>
        </w:rPr>
        <w:t>8</w:t>
      </w:r>
      <w:r w:rsidRPr="00E37F18">
        <w:rPr>
          <w:rFonts w:ascii="Times New Roman" w:hAnsi="Times New Roman"/>
          <w:sz w:val="24"/>
        </w:rPr>
        <w:t xml:space="preserve"> kūdikių (3,</w:t>
      </w:r>
      <w:r>
        <w:rPr>
          <w:rFonts w:ascii="Times New Roman" w:hAnsi="Times New Roman"/>
          <w:sz w:val="24"/>
        </w:rPr>
        <w:t>9</w:t>
      </w:r>
      <w:r w:rsidRPr="00E37F18">
        <w:rPr>
          <w:rFonts w:ascii="Times New Roman" w:hAnsi="Times New Roman"/>
          <w:sz w:val="24"/>
        </w:rPr>
        <w:t xml:space="preserve"> atvejo 1 000 gimusiųjų) (10 pav.).</w:t>
      </w:r>
    </w:p>
    <w:p w:rsidR="00E15EFF" w:rsidRDefault="00E15EFF" w:rsidP="00E15EFF">
      <w:pPr>
        <w:spacing w:after="0" w:line="360" w:lineRule="auto"/>
        <w:jc w:val="center"/>
      </w:pPr>
      <w:r>
        <w:rPr>
          <w:noProof/>
          <w:lang w:eastAsia="lt-LT"/>
        </w:rPr>
        <w:lastRenderedPageBreak/>
        <w:drawing>
          <wp:inline distT="0" distB="0" distL="0" distR="0" wp14:anchorId="09BE27F3" wp14:editId="5F0F5198">
            <wp:extent cx="5705475" cy="1533525"/>
            <wp:effectExtent l="19050" t="0" r="9525" b="0"/>
            <wp:docPr id="54"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5EFF" w:rsidRPr="00B02AA1" w:rsidRDefault="00E15EFF" w:rsidP="00E15EFF">
      <w:pPr>
        <w:pStyle w:val="PlainText"/>
        <w:ind w:right="566"/>
        <w:jc w:val="center"/>
        <w:rPr>
          <w:rFonts w:ascii="Times New Roman" w:eastAsia="MS Mincho" w:hAnsi="Times New Roman" w:cs="Times New Roman"/>
          <w:b/>
          <w:bCs/>
          <w:sz w:val="24"/>
          <w:szCs w:val="24"/>
          <w:lang w:val="lt-LT"/>
        </w:rPr>
      </w:pPr>
      <w:r>
        <w:rPr>
          <w:rFonts w:ascii="Times New Roman" w:eastAsia="MS Mincho" w:hAnsi="Times New Roman" w:cs="Times New Roman"/>
          <w:b/>
          <w:bCs/>
          <w:sz w:val="24"/>
          <w:szCs w:val="24"/>
          <w:lang w:val="lt-LT"/>
        </w:rPr>
        <w:t>10</w:t>
      </w:r>
      <w:r w:rsidRPr="00B02AA1">
        <w:rPr>
          <w:rFonts w:ascii="Times New Roman" w:eastAsia="MS Mincho" w:hAnsi="Times New Roman" w:cs="Times New Roman"/>
          <w:b/>
          <w:bCs/>
          <w:sz w:val="24"/>
          <w:szCs w:val="24"/>
          <w:lang w:val="lt-LT"/>
        </w:rPr>
        <w:t xml:space="preserve"> pav. Kūdikių iki 1 m. mirtingumas Lietuvos Respu</w:t>
      </w:r>
      <w:r>
        <w:rPr>
          <w:rFonts w:ascii="Times New Roman" w:eastAsia="MS Mincho" w:hAnsi="Times New Roman" w:cs="Times New Roman"/>
          <w:b/>
          <w:bCs/>
          <w:sz w:val="24"/>
          <w:szCs w:val="24"/>
          <w:lang w:val="lt-LT"/>
        </w:rPr>
        <w:t xml:space="preserve">blikoje ir Radviliškio rajone </w:t>
      </w:r>
      <w:r>
        <w:rPr>
          <w:rFonts w:ascii="Times New Roman" w:eastAsia="MS Mincho" w:hAnsi="Times New Roman" w:cs="Times New Roman"/>
          <w:b/>
          <w:bCs/>
          <w:sz w:val="24"/>
          <w:szCs w:val="24"/>
          <w:lang w:val="lt-LT"/>
        </w:rPr>
        <w:br/>
        <w:t>2012</w:t>
      </w:r>
      <w:r w:rsidRPr="00B02AA1">
        <w:rPr>
          <w:rFonts w:ascii="Times New Roman" w:eastAsia="MS Mincho" w:hAnsi="Times New Roman" w:cs="Times New Roman"/>
          <w:b/>
          <w:bCs/>
          <w:sz w:val="24"/>
          <w:szCs w:val="24"/>
          <w:lang w:val="lt-LT"/>
        </w:rPr>
        <w:t>-201</w:t>
      </w:r>
      <w:r>
        <w:rPr>
          <w:rFonts w:ascii="Times New Roman" w:eastAsia="MS Mincho" w:hAnsi="Times New Roman" w:cs="Times New Roman"/>
          <w:b/>
          <w:bCs/>
          <w:sz w:val="24"/>
          <w:szCs w:val="24"/>
          <w:lang w:val="lt-LT"/>
        </w:rPr>
        <w:t>4</w:t>
      </w:r>
      <w:r w:rsidRPr="00B02AA1">
        <w:rPr>
          <w:rFonts w:ascii="Times New Roman" w:eastAsia="MS Mincho" w:hAnsi="Times New Roman" w:cs="Times New Roman"/>
          <w:b/>
          <w:bCs/>
          <w:sz w:val="24"/>
          <w:szCs w:val="24"/>
          <w:lang w:val="lt-LT"/>
        </w:rPr>
        <w:t xml:space="preserve"> m.</w:t>
      </w:r>
      <w:r w:rsidRPr="00B02AA1">
        <w:rPr>
          <w:rFonts w:ascii="Times New Roman" w:eastAsia="MS Mincho" w:hAnsi="Times New Roman" w:cs="Times New Roman"/>
          <w:b/>
          <w:sz w:val="24"/>
          <w:szCs w:val="24"/>
          <w:lang w:val="lt-LT"/>
        </w:rPr>
        <w:t xml:space="preserve"> (</w:t>
      </w:r>
      <w:r w:rsidRPr="00B02AA1">
        <w:rPr>
          <w:rFonts w:ascii="Times New Roman" w:eastAsia="MS Mincho" w:hAnsi="Times New Roman" w:cs="Times New Roman"/>
          <w:b/>
          <w:bCs/>
          <w:sz w:val="24"/>
          <w:szCs w:val="24"/>
          <w:lang w:val="lt-LT"/>
        </w:rPr>
        <w:t>1 000 gim.)</w:t>
      </w:r>
    </w:p>
    <w:p w:rsidR="00E15EFF" w:rsidRDefault="00E15EFF" w:rsidP="00E15EFF">
      <w:pPr>
        <w:jc w:val="center"/>
        <w:rPr>
          <w:rFonts w:ascii="Times New Roman" w:hAnsi="Times New Roman"/>
          <w:bCs/>
          <w:i/>
          <w:sz w:val="20"/>
          <w:szCs w:val="24"/>
        </w:rPr>
      </w:pPr>
      <w:r w:rsidRPr="00AE0A11">
        <w:rPr>
          <w:rFonts w:ascii="Times New Roman" w:hAnsi="Times New Roman"/>
          <w:bCs/>
          <w:i/>
          <w:sz w:val="20"/>
          <w:szCs w:val="24"/>
        </w:rPr>
        <w:t xml:space="preserve">Šaltinis: </w:t>
      </w:r>
      <w:r w:rsidRPr="00E37F18">
        <w:rPr>
          <w:rFonts w:ascii="Times New Roman" w:hAnsi="Times New Roman"/>
          <w:i/>
          <w:sz w:val="20"/>
        </w:rPr>
        <w:t>Higienos institutas Sveikatos informacijos centras</w:t>
      </w:r>
    </w:p>
    <w:p w:rsidR="00E15EFF" w:rsidRPr="00BF0666" w:rsidRDefault="00E15EFF" w:rsidP="00E15EFF">
      <w:pPr>
        <w:spacing w:after="0" w:line="240" w:lineRule="auto"/>
        <w:jc w:val="center"/>
        <w:rPr>
          <w:rFonts w:ascii="Times New Roman" w:hAnsi="Times New Roman"/>
          <w:bCs/>
          <w:sz w:val="20"/>
          <w:szCs w:val="24"/>
        </w:rPr>
      </w:pPr>
    </w:p>
    <w:p w:rsidR="00E15EFF" w:rsidRPr="0094691B" w:rsidRDefault="00E15EFF" w:rsidP="00E15EFF">
      <w:pPr>
        <w:pStyle w:val="NoSpacing"/>
        <w:spacing w:line="360" w:lineRule="auto"/>
        <w:ind w:firstLine="720"/>
        <w:jc w:val="both"/>
        <w:rPr>
          <w:sz w:val="24"/>
          <w:szCs w:val="24"/>
        </w:rPr>
      </w:pPr>
      <w:r w:rsidRPr="0094691B">
        <w:rPr>
          <w:sz w:val="24"/>
          <w:szCs w:val="24"/>
        </w:rPr>
        <w:t>Gyventojų sveikatos būklę tiksliau atspindi ne bendro mirtingumo, o mirtingumo nuo pagrindinių priežasčių vertinimas. Jis rodo, kokios sveikatos problemos visuomenėje vyrauja ir kaip jos kinta. Pagrindinės išsivysčiusių šalių gyventojų mirties priežastys yra širdies i</w:t>
      </w:r>
      <w:r>
        <w:rPr>
          <w:sz w:val="24"/>
          <w:szCs w:val="24"/>
        </w:rPr>
        <w:t>r kraujagyslių sistemos ligos bei</w:t>
      </w:r>
      <w:r w:rsidRPr="0094691B">
        <w:rPr>
          <w:sz w:val="24"/>
          <w:szCs w:val="24"/>
        </w:rPr>
        <w:t xml:space="preserve"> onkologiniai susirgimai.</w:t>
      </w:r>
    </w:p>
    <w:p w:rsidR="00E15EFF" w:rsidRPr="00FE5CE0" w:rsidRDefault="00E15EFF" w:rsidP="00E15EFF">
      <w:pPr>
        <w:pStyle w:val="NoSpacing"/>
        <w:spacing w:line="360" w:lineRule="auto"/>
        <w:ind w:firstLine="720"/>
        <w:contextualSpacing/>
        <w:jc w:val="both"/>
        <w:rPr>
          <w:sz w:val="24"/>
          <w:szCs w:val="24"/>
        </w:rPr>
      </w:pPr>
      <w:r w:rsidRPr="0094691B">
        <w:rPr>
          <w:sz w:val="24"/>
          <w:szCs w:val="24"/>
        </w:rPr>
        <w:t>Higienos instituto Sveikatos informacijos centro duomenimis</w:t>
      </w:r>
      <w:r w:rsidRPr="0094691B">
        <w:t>,</w:t>
      </w:r>
      <w:r w:rsidRPr="0094691B">
        <w:rPr>
          <w:sz w:val="24"/>
          <w:szCs w:val="24"/>
        </w:rPr>
        <w:t xml:space="preserve"> Radviliškio rajone mirtingumas nuo kraujotakos sistemos ligų </w:t>
      </w:r>
      <w:r>
        <w:rPr>
          <w:sz w:val="24"/>
          <w:szCs w:val="24"/>
        </w:rPr>
        <w:t>sumažėjo</w:t>
      </w:r>
      <w:r w:rsidRPr="0094691B">
        <w:rPr>
          <w:sz w:val="24"/>
          <w:szCs w:val="24"/>
        </w:rPr>
        <w:t xml:space="preserve"> ir siekė </w:t>
      </w:r>
      <w:r>
        <w:rPr>
          <w:sz w:val="24"/>
          <w:szCs w:val="24"/>
        </w:rPr>
        <w:t>904,3</w:t>
      </w:r>
      <w:r w:rsidRPr="0094691B">
        <w:rPr>
          <w:sz w:val="24"/>
          <w:szCs w:val="24"/>
        </w:rPr>
        <w:t xml:space="preserve"> atvejo 100 000 gyv. Mirtingumas nuo </w:t>
      </w:r>
      <w:r>
        <w:rPr>
          <w:sz w:val="24"/>
          <w:szCs w:val="24"/>
        </w:rPr>
        <w:t>piktybinių navikų</w:t>
      </w:r>
      <w:r w:rsidRPr="0094691B">
        <w:rPr>
          <w:sz w:val="24"/>
          <w:szCs w:val="24"/>
        </w:rPr>
        <w:t xml:space="preserve"> </w:t>
      </w:r>
      <w:r>
        <w:rPr>
          <w:sz w:val="24"/>
          <w:szCs w:val="24"/>
        </w:rPr>
        <w:t xml:space="preserve">padidėjo </w:t>
      </w:r>
      <w:r w:rsidRPr="0094691B">
        <w:rPr>
          <w:sz w:val="24"/>
          <w:szCs w:val="24"/>
        </w:rPr>
        <w:t>ir 201</w:t>
      </w:r>
      <w:r>
        <w:rPr>
          <w:sz w:val="24"/>
          <w:szCs w:val="24"/>
        </w:rPr>
        <w:t>4</w:t>
      </w:r>
      <w:r w:rsidRPr="0094691B">
        <w:rPr>
          <w:sz w:val="24"/>
          <w:szCs w:val="24"/>
        </w:rPr>
        <w:t xml:space="preserve"> m. siekė </w:t>
      </w:r>
      <w:r>
        <w:rPr>
          <w:sz w:val="24"/>
          <w:szCs w:val="24"/>
        </w:rPr>
        <w:t>312,5</w:t>
      </w:r>
      <w:r w:rsidRPr="0094691B">
        <w:rPr>
          <w:sz w:val="24"/>
          <w:szCs w:val="24"/>
        </w:rPr>
        <w:t xml:space="preserve"> atvejo 100 000 gyv.</w:t>
      </w:r>
      <w:r>
        <w:rPr>
          <w:sz w:val="24"/>
          <w:szCs w:val="24"/>
        </w:rPr>
        <w:t xml:space="preserve"> (2013 m. buvo 261,7 atvejo 100 000 gyv.).</w:t>
      </w:r>
      <w:r w:rsidRPr="0094691B">
        <w:rPr>
          <w:sz w:val="24"/>
          <w:szCs w:val="24"/>
        </w:rPr>
        <w:t xml:space="preserve"> </w:t>
      </w:r>
      <w:r>
        <w:rPr>
          <w:sz w:val="24"/>
          <w:szCs w:val="24"/>
        </w:rPr>
        <w:t>2014 m. sumažėjo</w:t>
      </w:r>
      <w:r w:rsidRPr="0094691B">
        <w:rPr>
          <w:sz w:val="24"/>
          <w:szCs w:val="24"/>
        </w:rPr>
        <w:t xml:space="preserve"> mirtingumas dėl išorinių mirties priežasčių</w:t>
      </w:r>
      <w:r>
        <w:rPr>
          <w:sz w:val="24"/>
          <w:szCs w:val="24"/>
        </w:rPr>
        <w:t xml:space="preserve"> (121,9 atvejai 100 000 gyv.)</w:t>
      </w:r>
      <w:r w:rsidRPr="0094691B">
        <w:rPr>
          <w:sz w:val="24"/>
          <w:szCs w:val="24"/>
        </w:rPr>
        <w:t xml:space="preserve">, </w:t>
      </w:r>
      <w:r>
        <w:rPr>
          <w:sz w:val="24"/>
          <w:szCs w:val="24"/>
        </w:rPr>
        <w:t xml:space="preserve">kvėpavimo organų ligų (55,9 atvejo 100 000 gyv.) ir infekcinių ligų (17,8 atvejo 100 000 gyv.) </w:t>
      </w:r>
      <w:r w:rsidRPr="0094691B">
        <w:rPr>
          <w:sz w:val="24"/>
          <w:szCs w:val="24"/>
        </w:rPr>
        <w:t>(žr. 11 pav.).</w:t>
      </w:r>
    </w:p>
    <w:p w:rsidR="00E15EFF" w:rsidRDefault="00E15EFF" w:rsidP="00E15EFF">
      <w:pPr>
        <w:spacing w:after="0" w:line="360" w:lineRule="auto"/>
        <w:jc w:val="center"/>
      </w:pPr>
      <w:r>
        <w:rPr>
          <w:noProof/>
          <w:lang w:eastAsia="lt-LT"/>
        </w:rPr>
        <w:drawing>
          <wp:inline distT="0" distB="0" distL="0" distR="0" wp14:anchorId="69BA1686" wp14:editId="22FEF882">
            <wp:extent cx="5475605" cy="3086100"/>
            <wp:effectExtent l="0" t="0" r="1079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5EFF" w:rsidRPr="00B02AA1" w:rsidRDefault="00E15EFF" w:rsidP="00E15EFF">
      <w:pPr>
        <w:spacing w:after="0" w:line="240" w:lineRule="auto"/>
        <w:jc w:val="center"/>
        <w:rPr>
          <w:rFonts w:ascii="Times New Roman" w:hAnsi="Times New Roman"/>
          <w:b/>
          <w:bCs/>
          <w:sz w:val="24"/>
          <w:szCs w:val="24"/>
        </w:rPr>
      </w:pPr>
      <w:r>
        <w:rPr>
          <w:rFonts w:ascii="Times New Roman" w:hAnsi="Times New Roman"/>
          <w:b/>
          <w:bCs/>
          <w:sz w:val="24"/>
          <w:szCs w:val="24"/>
        </w:rPr>
        <w:t>11</w:t>
      </w:r>
      <w:r w:rsidRPr="00B02AA1">
        <w:rPr>
          <w:rFonts w:ascii="Times New Roman" w:hAnsi="Times New Roman"/>
          <w:b/>
          <w:bCs/>
          <w:sz w:val="24"/>
          <w:szCs w:val="24"/>
        </w:rPr>
        <w:t xml:space="preserve"> pav. Gyventojų mirtingumo dinamik</w:t>
      </w:r>
      <w:r>
        <w:rPr>
          <w:rFonts w:ascii="Times New Roman" w:hAnsi="Times New Roman"/>
          <w:b/>
          <w:bCs/>
          <w:sz w:val="24"/>
          <w:szCs w:val="24"/>
        </w:rPr>
        <w:t>a pagal mirties priežastis 2012</w:t>
      </w:r>
      <w:r w:rsidRPr="00B02AA1">
        <w:rPr>
          <w:rFonts w:ascii="Times New Roman" w:hAnsi="Times New Roman"/>
          <w:b/>
          <w:bCs/>
          <w:sz w:val="24"/>
          <w:szCs w:val="24"/>
        </w:rPr>
        <w:t>-201</w:t>
      </w:r>
      <w:r>
        <w:rPr>
          <w:rFonts w:ascii="Times New Roman" w:hAnsi="Times New Roman"/>
          <w:b/>
          <w:bCs/>
          <w:sz w:val="24"/>
          <w:szCs w:val="24"/>
        </w:rPr>
        <w:t>4</w:t>
      </w:r>
      <w:r w:rsidRPr="00B02AA1">
        <w:rPr>
          <w:rFonts w:ascii="Times New Roman" w:hAnsi="Times New Roman"/>
          <w:b/>
          <w:bCs/>
          <w:sz w:val="24"/>
          <w:szCs w:val="24"/>
        </w:rPr>
        <w:t xml:space="preserve"> m. </w:t>
      </w:r>
      <w:r w:rsidRPr="00B02AA1">
        <w:rPr>
          <w:rFonts w:ascii="Times New Roman" w:hAnsi="Times New Roman"/>
          <w:b/>
          <w:bCs/>
          <w:sz w:val="24"/>
          <w:szCs w:val="24"/>
        </w:rPr>
        <w:br/>
      </w:r>
      <w:r>
        <w:rPr>
          <w:rFonts w:ascii="Times New Roman" w:hAnsi="Times New Roman"/>
          <w:b/>
          <w:bCs/>
          <w:sz w:val="24"/>
          <w:szCs w:val="24"/>
        </w:rPr>
        <w:t>Radviliškio</w:t>
      </w:r>
      <w:r w:rsidRPr="00B02AA1">
        <w:rPr>
          <w:rFonts w:ascii="Times New Roman" w:hAnsi="Times New Roman"/>
          <w:b/>
          <w:bCs/>
          <w:sz w:val="24"/>
          <w:szCs w:val="24"/>
        </w:rPr>
        <w:t xml:space="preserve"> rajone (100 000 gyv.)</w:t>
      </w:r>
    </w:p>
    <w:p w:rsidR="00E15EFF" w:rsidRDefault="00E15EFF" w:rsidP="00E15EFF">
      <w:pPr>
        <w:spacing w:after="120"/>
        <w:ind w:right="851"/>
        <w:jc w:val="center"/>
        <w:rPr>
          <w:rFonts w:ascii="Times New Roman" w:hAnsi="Times New Roman"/>
          <w:bCs/>
          <w:i/>
          <w:sz w:val="20"/>
          <w:szCs w:val="24"/>
        </w:rPr>
      </w:pPr>
      <w:r w:rsidRPr="00A4302A">
        <w:rPr>
          <w:rFonts w:ascii="Times New Roman" w:hAnsi="Times New Roman"/>
          <w:bCs/>
          <w:i/>
          <w:sz w:val="20"/>
          <w:szCs w:val="24"/>
        </w:rPr>
        <w:t>Šaltinis: Higienos instituto Sveikatos informacijos centras</w:t>
      </w:r>
    </w:p>
    <w:p w:rsidR="00E15EFF" w:rsidRPr="00882CB6" w:rsidRDefault="00E15EFF" w:rsidP="00E15EFF">
      <w:pPr>
        <w:pStyle w:val="NoSpacing"/>
        <w:spacing w:line="360" w:lineRule="auto"/>
        <w:ind w:firstLine="720"/>
        <w:jc w:val="both"/>
        <w:rPr>
          <w:sz w:val="24"/>
          <w:szCs w:val="24"/>
        </w:rPr>
      </w:pPr>
      <w:r w:rsidRPr="00855F03">
        <w:rPr>
          <w:sz w:val="24"/>
          <w:szCs w:val="24"/>
        </w:rPr>
        <w:lastRenderedPageBreak/>
        <w:t>Lyginant vyrų ir moterų mirtingumą pagal pagrindines mirties priežastis</w:t>
      </w:r>
      <w:r>
        <w:rPr>
          <w:sz w:val="24"/>
          <w:szCs w:val="24"/>
        </w:rPr>
        <w:t>, matome, kad</w:t>
      </w:r>
      <w:r w:rsidRPr="00855F03">
        <w:rPr>
          <w:sz w:val="24"/>
          <w:szCs w:val="24"/>
        </w:rPr>
        <w:t xml:space="preserve"> Radviliškio rajone daugiau vyrų</w:t>
      </w:r>
      <w:r>
        <w:rPr>
          <w:sz w:val="24"/>
          <w:szCs w:val="24"/>
        </w:rPr>
        <w:t>,</w:t>
      </w:r>
      <w:r w:rsidRPr="00855F03">
        <w:rPr>
          <w:sz w:val="24"/>
          <w:szCs w:val="24"/>
        </w:rPr>
        <w:t xml:space="preserve"> nei moterų</w:t>
      </w:r>
      <w:r>
        <w:rPr>
          <w:sz w:val="24"/>
          <w:szCs w:val="24"/>
        </w:rPr>
        <w:t xml:space="preserve">, </w:t>
      </w:r>
      <w:r w:rsidRPr="00855F03">
        <w:rPr>
          <w:sz w:val="24"/>
          <w:szCs w:val="24"/>
        </w:rPr>
        <w:t xml:space="preserve">mirė nuo piktybinių navikų (vyrų mirtingumas – </w:t>
      </w:r>
      <w:r>
        <w:rPr>
          <w:sz w:val="24"/>
          <w:szCs w:val="24"/>
        </w:rPr>
        <w:t>434</w:t>
      </w:r>
      <w:r w:rsidRPr="00855F03">
        <w:rPr>
          <w:sz w:val="24"/>
          <w:szCs w:val="24"/>
        </w:rPr>
        <w:t xml:space="preserve">/100 000 gyv., moterų – </w:t>
      </w:r>
      <w:r>
        <w:rPr>
          <w:sz w:val="24"/>
          <w:szCs w:val="24"/>
        </w:rPr>
        <w:t>205,4/</w:t>
      </w:r>
      <w:r w:rsidRPr="00855F03">
        <w:rPr>
          <w:sz w:val="24"/>
          <w:szCs w:val="24"/>
        </w:rPr>
        <w:t xml:space="preserve">100 000 gyv.), dėl išorinių mirties priežasčių (vyrų – </w:t>
      </w:r>
      <w:r>
        <w:rPr>
          <w:sz w:val="24"/>
          <w:szCs w:val="24"/>
        </w:rPr>
        <w:t>217</w:t>
      </w:r>
      <w:r w:rsidRPr="00855F03">
        <w:rPr>
          <w:sz w:val="24"/>
          <w:szCs w:val="24"/>
        </w:rPr>
        <w:t xml:space="preserve">/100 000 gyv., moterų – </w:t>
      </w:r>
      <w:r>
        <w:rPr>
          <w:sz w:val="24"/>
          <w:szCs w:val="24"/>
        </w:rPr>
        <w:t>38,2</w:t>
      </w:r>
      <w:r w:rsidRPr="00855F03">
        <w:rPr>
          <w:sz w:val="24"/>
          <w:szCs w:val="24"/>
        </w:rPr>
        <w:t xml:space="preserve">/100 000 gyv.) ir kvėpavimo sistemos ligų (atitinkamai </w:t>
      </w:r>
      <w:r>
        <w:rPr>
          <w:sz w:val="24"/>
          <w:szCs w:val="24"/>
        </w:rPr>
        <w:t>75,9</w:t>
      </w:r>
      <w:r w:rsidRPr="00855F03">
        <w:rPr>
          <w:sz w:val="24"/>
          <w:szCs w:val="24"/>
        </w:rPr>
        <w:t xml:space="preserve"> atvejo 100 000 gyv. ir </w:t>
      </w:r>
      <w:r>
        <w:rPr>
          <w:sz w:val="24"/>
          <w:szCs w:val="24"/>
        </w:rPr>
        <w:t>38,2</w:t>
      </w:r>
      <w:r w:rsidRPr="00855F03">
        <w:rPr>
          <w:sz w:val="24"/>
          <w:szCs w:val="24"/>
        </w:rPr>
        <w:t xml:space="preserve"> atvejo 100 000 gyv.). Taip pat daugiau vyrų mirė nuo infekcinių ligų (</w:t>
      </w:r>
      <w:r>
        <w:rPr>
          <w:sz w:val="24"/>
          <w:szCs w:val="24"/>
        </w:rPr>
        <w:t>27,1</w:t>
      </w:r>
      <w:r w:rsidRPr="00855F03">
        <w:rPr>
          <w:sz w:val="24"/>
          <w:szCs w:val="24"/>
        </w:rPr>
        <w:t xml:space="preserve"> atvejo 100 000 gyv.). Daugiau moterų mirė nuo kraujotakos sistemos (moterys – </w:t>
      </w:r>
      <w:r>
        <w:rPr>
          <w:sz w:val="24"/>
          <w:szCs w:val="24"/>
        </w:rPr>
        <w:t>993,7</w:t>
      </w:r>
      <w:r w:rsidRPr="00855F03">
        <w:rPr>
          <w:sz w:val="24"/>
          <w:szCs w:val="24"/>
        </w:rPr>
        <w:t xml:space="preserve">/100 000 gyv., vyrų – </w:t>
      </w:r>
      <w:r>
        <w:rPr>
          <w:sz w:val="24"/>
          <w:szCs w:val="24"/>
        </w:rPr>
        <w:t>802,9</w:t>
      </w:r>
      <w:r w:rsidRPr="00855F03">
        <w:rPr>
          <w:sz w:val="24"/>
          <w:szCs w:val="24"/>
        </w:rPr>
        <w:t>/100 000 gyv.)</w:t>
      </w:r>
      <w:r>
        <w:rPr>
          <w:sz w:val="24"/>
          <w:szCs w:val="24"/>
        </w:rPr>
        <w:t xml:space="preserve"> ir virškinimo sistemos ligų (moterys – 119,4/100 000 gyv., vyrai – 92,9/100 000 gyv.)</w:t>
      </w:r>
      <w:r w:rsidRPr="00855F03">
        <w:rPr>
          <w:sz w:val="24"/>
          <w:szCs w:val="24"/>
        </w:rPr>
        <w:t xml:space="preserve"> (žr. 12 pav.).</w:t>
      </w:r>
    </w:p>
    <w:p w:rsidR="00E15EFF" w:rsidRDefault="00E15EFF" w:rsidP="00E15EFF">
      <w:pPr>
        <w:spacing w:after="0" w:line="360" w:lineRule="auto"/>
        <w:jc w:val="center"/>
        <w:rPr>
          <w:szCs w:val="24"/>
        </w:rPr>
      </w:pPr>
      <w:r>
        <w:rPr>
          <w:noProof/>
          <w:szCs w:val="24"/>
          <w:lang w:eastAsia="lt-LT"/>
        </w:rPr>
        <w:drawing>
          <wp:inline distT="0" distB="0" distL="0" distR="0" wp14:anchorId="2A90674C" wp14:editId="00D7A0CF">
            <wp:extent cx="5486400" cy="2686050"/>
            <wp:effectExtent l="19050" t="0" r="19050" b="0"/>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5EFF" w:rsidRPr="00C675D8" w:rsidRDefault="00E15EFF" w:rsidP="00E15EFF">
      <w:pPr>
        <w:pStyle w:val="ListParagraph"/>
        <w:tabs>
          <w:tab w:val="left" w:pos="9639"/>
        </w:tabs>
        <w:spacing w:after="0" w:line="240" w:lineRule="auto"/>
        <w:ind w:left="0" w:right="-1"/>
        <w:jc w:val="center"/>
        <w:rPr>
          <w:b/>
          <w:szCs w:val="24"/>
        </w:rPr>
      </w:pPr>
      <w:r>
        <w:rPr>
          <w:b/>
          <w:szCs w:val="24"/>
        </w:rPr>
        <w:t>12</w:t>
      </w:r>
      <w:r w:rsidRPr="009F21DA">
        <w:rPr>
          <w:b/>
          <w:szCs w:val="24"/>
        </w:rPr>
        <w:t xml:space="preserve"> pav</w:t>
      </w:r>
      <w:r w:rsidRPr="00C675D8">
        <w:rPr>
          <w:b/>
          <w:szCs w:val="24"/>
        </w:rPr>
        <w:t xml:space="preserve">. </w:t>
      </w:r>
      <w:r>
        <w:rPr>
          <w:b/>
          <w:szCs w:val="24"/>
        </w:rPr>
        <w:t>Vyrų ir moterų m</w:t>
      </w:r>
      <w:r w:rsidRPr="00C675D8">
        <w:rPr>
          <w:b/>
          <w:szCs w:val="24"/>
        </w:rPr>
        <w:t>irties priežasčių struktūra Radviliškio rajone 201</w:t>
      </w:r>
      <w:r>
        <w:rPr>
          <w:b/>
          <w:szCs w:val="24"/>
        </w:rPr>
        <w:t>4 m.</w:t>
      </w:r>
      <w:r w:rsidRPr="00C675D8">
        <w:rPr>
          <w:b/>
          <w:szCs w:val="24"/>
        </w:rPr>
        <w:t xml:space="preserve"> </w:t>
      </w:r>
    </w:p>
    <w:p w:rsidR="00E15EFF" w:rsidRDefault="00E15EFF" w:rsidP="00E15EFF">
      <w:pPr>
        <w:spacing w:after="0" w:line="240" w:lineRule="auto"/>
        <w:ind w:right="851"/>
        <w:jc w:val="center"/>
        <w:rPr>
          <w:rFonts w:ascii="Times New Roman" w:hAnsi="Times New Roman"/>
          <w:bCs/>
          <w:i/>
          <w:sz w:val="20"/>
          <w:szCs w:val="24"/>
        </w:rPr>
      </w:pPr>
      <w:r w:rsidRPr="00C675D8">
        <w:rPr>
          <w:rFonts w:ascii="Times New Roman" w:hAnsi="Times New Roman"/>
          <w:b/>
          <w:sz w:val="24"/>
          <w:szCs w:val="24"/>
        </w:rPr>
        <w:t>(100 000 gyv.)</w:t>
      </w:r>
      <w:r>
        <w:rPr>
          <w:b/>
          <w:szCs w:val="24"/>
        </w:rPr>
        <w:br/>
      </w:r>
      <w:r w:rsidRPr="00AE0A11">
        <w:rPr>
          <w:rFonts w:ascii="Times New Roman" w:hAnsi="Times New Roman"/>
          <w:bCs/>
          <w:i/>
          <w:sz w:val="20"/>
          <w:szCs w:val="24"/>
        </w:rPr>
        <w:t>Šaltinis: Higienos instituto Sveikatos informacijos centras</w:t>
      </w:r>
    </w:p>
    <w:p w:rsidR="00E15EFF" w:rsidRPr="00AB3C0A" w:rsidRDefault="00E15EFF" w:rsidP="00E15EFF">
      <w:pPr>
        <w:spacing w:after="0" w:line="240" w:lineRule="auto"/>
        <w:ind w:right="851"/>
        <w:jc w:val="center"/>
        <w:rPr>
          <w:rFonts w:ascii="Times New Roman" w:hAnsi="Times New Roman"/>
          <w:bCs/>
          <w:i/>
          <w:sz w:val="24"/>
          <w:szCs w:val="24"/>
        </w:rPr>
      </w:pPr>
    </w:p>
    <w:p w:rsidR="00E15EFF" w:rsidRPr="00153091" w:rsidRDefault="00E15EFF" w:rsidP="00E15EFF">
      <w:pPr>
        <w:spacing w:after="0" w:line="360" w:lineRule="auto"/>
        <w:ind w:firstLine="720"/>
        <w:jc w:val="both"/>
        <w:rPr>
          <w:rFonts w:ascii="Times New Roman" w:hAnsi="Times New Roman"/>
          <w:sz w:val="24"/>
        </w:rPr>
      </w:pPr>
      <w:r w:rsidRPr="00C11CB3">
        <w:rPr>
          <w:rFonts w:ascii="Times New Roman" w:hAnsi="Times New Roman"/>
          <w:sz w:val="24"/>
        </w:rPr>
        <w:t>Transporto įvykiai, apsinuodijimai alkoholiu, tyčiniai susižalojimai (savižudybės) ir pasikėsinimai priskiriami išorinėms mirties priežastims. Higienos instituto Sveikatos informacijos centro duomenimis, 201</w:t>
      </w:r>
      <w:r>
        <w:rPr>
          <w:rFonts w:ascii="Times New Roman" w:hAnsi="Times New Roman"/>
          <w:sz w:val="24"/>
        </w:rPr>
        <w:t>4</w:t>
      </w:r>
      <w:r w:rsidRPr="00C11CB3">
        <w:rPr>
          <w:rFonts w:ascii="Times New Roman" w:hAnsi="Times New Roman"/>
          <w:sz w:val="24"/>
        </w:rPr>
        <w:t xml:space="preserve"> m. Lietuvoje  (</w:t>
      </w:r>
      <w:r>
        <w:rPr>
          <w:rFonts w:ascii="Times New Roman" w:hAnsi="Times New Roman"/>
          <w:sz w:val="24"/>
        </w:rPr>
        <w:t>31,7/100 000 gyv.)</w:t>
      </w:r>
      <w:r w:rsidRPr="00C11CB3">
        <w:rPr>
          <w:rFonts w:ascii="Times New Roman" w:hAnsi="Times New Roman"/>
          <w:sz w:val="24"/>
        </w:rPr>
        <w:t xml:space="preserve"> ir Radviliškio rajone (</w:t>
      </w:r>
      <w:r>
        <w:rPr>
          <w:rFonts w:ascii="Times New Roman" w:hAnsi="Times New Roman"/>
          <w:sz w:val="24"/>
        </w:rPr>
        <w:t>40,6</w:t>
      </w:r>
      <w:r w:rsidRPr="00C11CB3">
        <w:rPr>
          <w:rFonts w:ascii="Times New Roman" w:hAnsi="Times New Roman"/>
          <w:sz w:val="24"/>
        </w:rPr>
        <w:t xml:space="preserve">/100 000 gyv.) daugiausiai mirties atvejų išorinių mirties priežasčių struktūroje buvo dėl tyčinių susižalojimų. </w:t>
      </w:r>
      <w:r>
        <w:rPr>
          <w:rFonts w:ascii="Times New Roman" w:hAnsi="Times New Roman"/>
          <w:sz w:val="24"/>
        </w:rPr>
        <w:t>Transporto įvykių metų žuvo 325 šalies gyventojų (11,1</w:t>
      </w:r>
      <w:r w:rsidRPr="000413CC">
        <w:rPr>
          <w:rFonts w:ascii="Times New Roman" w:hAnsi="Times New Roman"/>
          <w:sz w:val="24"/>
        </w:rPr>
        <w:t xml:space="preserve"> </w:t>
      </w:r>
      <w:r>
        <w:rPr>
          <w:rFonts w:ascii="Times New Roman" w:hAnsi="Times New Roman"/>
          <w:sz w:val="24"/>
        </w:rPr>
        <w:t xml:space="preserve">atvejai 100 000 gyv.), Radviliškio rajone žuvo 7 gyventojai (17,8 atvejai 100 000 gyv.) </w:t>
      </w:r>
      <w:r w:rsidRPr="00C11CB3">
        <w:rPr>
          <w:rFonts w:ascii="Times New Roman" w:hAnsi="Times New Roman"/>
          <w:sz w:val="24"/>
        </w:rPr>
        <w:t>(žr. 13 pav.).</w:t>
      </w:r>
      <w:r>
        <w:rPr>
          <w:rFonts w:ascii="Times New Roman" w:hAnsi="Times New Roman"/>
          <w:sz w:val="24"/>
        </w:rPr>
        <w:t xml:space="preserve"> </w:t>
      </w:r>
      <w:r w:rsidRPr="00C11CB3">
        <w:rPr>
          <w:rFonts w:ascii="Times New Roman" w:hAnsi="Times New Roman"/>
          <w:sz w:val="24"/>
        </w:rPr>
        <w:t xml:space="preserve"> </w:t>
      </w:r>
    </w:p>
    <w:p w:rsidR="00E15EFF" w:rsidRDefault="00E15EFF" w:rsidP="00E15EFF">
      <w:pPr>
        <w:spacing w:after="0" w:line="360" w:lineRule="auto"/>
        <w:jc w:val="center"/>
        <w:rPr>
          <w:b/>
          <w:bCs/>
        </w:rPr>
      </w:pPr>
      <w:r>
        <w:rPr>
          <w:b/>
          <w:bCs/>
          <w:noProof/>
          <w:lang w:eastAsia="lt-LT"/>
        </w:rPr>
        <w:lastRenderedPageBreak/>
        <w:drawing>
          <wp:inline distT="0" distB="0" distL="0" distR="0" wp14:anchorId="6B40E2A3" wp14:editId="33438552">
            <wp:extent cx="5486400" cy="2295525"/>
            <wp:effectExtent l="19050" t="0" r="19050" b="0"/>
            <wp:docPr id="57"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5EFF" w:rsidRDefault="00E15EFF" w:rsidP="00E15EFF">
      <w:pPr>
        <w:spacing w:after="0" w:line="240" w:lineRule="auto"/>
        <w:ind w:right="851"/>
        <w:jc w:val="center"/>
        <w:rPr>
          <w:rFonts w:ascii="Times New Roman" w:hAnsi="Times New Roman"/>
          <w:bCs/>
          <w:i/>
          <w:sz w:val="24"/>
          <w:szCs w:val="24"/>
        </w:rPr>
      </w:pPr>
      <w:r w:rsidRPr="00153091">
        <w:rPr>
          <w:rFonts w:ascii="Times New Roman" w:hAnsi="Times New Roman"/>
          <w:b/>
          <w:bCs/>
          <w:sz w:val="24"/>
          <w:szCs w:val="24"/>
        </w:rPr>
        <w:t>1</w:t>
      </w:r>
      <w:r>
        <w:rPr>
          <w:rFonts w:ascii="Times New Roman" w:hAnsi="Times New Roman"/>
          <w:b/>
          <w:bCs/>
          <w:sz w:val="24"/>
          <w:szCs w:val="24"/>
        </w:rPr>
        <w:t>3</w:t>
      </w:r>
      <w:r w:rsidRPr="00153091">
        <w:rPr>
          <w:rFonts w:ascii="Times New Roman" w:hAnsi="Times New Roman"/>
          <w:b/>
          <w:bCs/>
          <w:sz w:val="24"/>
          <w:szCs w:val="24"/>
        </w:rPr>
        <w:t xml:space="preserve"> pav. Išorinių mirties priežasčių struktūra Lietuvos Respublikoje ir </w:t>
      </w:r>
      <w:r w:rsidRPr="00153091">
        <w:rPr>
          <w:rFonts w:ascii="Times New Roman" w:hAnsi="Times New Roman"/>
          <w:b/>
          <w:bCs/>
          <w:sz w:val="24"/>
          <w:szCs w:val="24"/>
        </w:rPr>
        <w:br/>
      </w:r>
      <w:r>
        <w:rPr>
          <w:rFonts w:ascii="Times New Roman" w:hAnsi="Times New Roman"/>
          <w:b/>
          <w:bCs/>
          <w:sz w:val="24"/>
          <w:szCs w:val="24"/>
        </w:rPr>
        <w:t>Radviliškio</w:t>
      </w:r>
      <w:r w:rsidRPr="00153091">
        <w:rPr>
          <w:rFonts w:ascii="Times New Roman" w:hAnsi="Times New Roman"/>
          <w:b/>
          <w:bCs/>
          <w:sz w:val="24"/>
          <w:szCs w:val="24"/>
        </w:rPr>
        <w:t xml:space="preserve"> rajone 201</w:t>
      </w:r>
      <w:r>
        <w:rPr>
          <w:rFonts w:ascii="Times New Roman" w:hAnsi="Times New Roman"/>
          <w:b/>
          <w:bCs/>
          <w:sz w:val="24"/>
          <w:szCs w:val="24"/>
        </w:rPr>
        <w:t>4</w:t>
      </w:r>
      <w:r w:rsidRPr="00153091">
        <w:rPr>
          <w:rFonts w:ascii="Times New Roman" w:hAnsi="Times New Roman"/>
          <w:b/>
          <w:bCs/>
          <w:sz w:val="24"/>
          <w:szCs w:val="24"/>
        </w:rPr>
        <w:t xml:space="preserve"> m. (100 000 gyv.)</w:t>
      </w:r>
      <w:r w:rsidRPr="00153091">
        <w:rPr>
          <w:rFonts w:ascii="Times New Roman" w:hAnsi="Times New Roman"/>
          <w:b/>
          <w:bCs/>
          <w:sz w:val="24"/>
          <w:szCs w:val="24"/>
        </w:rPr>
        <w:br/>
      </w:r>
      <w:r w:rsidRPr="00AE0A11">
        <w:rPr>
          <w:rFonts w:ascii="Times New Roman" w:hAnsi="Times New Roman"/>
          <w:bCs/>
          <w:i/>
          <w:sz w:val="20"/>
          <w:szCs w:val="24"/>
        </w:rPr>
        <w:t>Šaltinis: Higienos instituto Sveikatos informacijos centras</w:t>
      </w:r>
    </w:p>
    <w:p w:rsidR="00E15EFF" w:rsidRDefault="00E15EFF" w:rsidP="00E15EFF">
      <w:pPr>
        <w:spacing w:after="120"/>
        <w:ind w:right="851"/>
        <w:jc w:val="both"/>
        <w:rPr>
          <w:rFonts w:ascii="Times New Roman" w:hAnsi="Times New Roman"/>
          <w:bCs/>
          <w:sz w:val="24"/>
          <w:szCs w:val="24"/>
        </w:rPr>
      </w:pPr>
    </w:p>
    <w:p w:rsidR="00E15EFF" w:rsidRDefault="00E15EFF" w:rsidP="00E15EFF">
      <w:pPr>
        <w:spacing w:after="0" w:line="360" w:lineRule="auto"/>
        <w:ind w:firstLine="720"/>
        <w:jc w:val="both"/>
        <w:rPr>
          <w:rFonts w:ascii="Times New Roman" w:hAnsi="Times New Roman"/>
          <w:sz w:val="24"/>
        </w:rPr>
      </w:pPr>
      <w:r w:rsidRPr="004B5E41">
        <w:rPr>
          <w:rFonts w:ascii="Times New Roman" w:hAnsi="Times New Roman"/>
          <w:sz w:val="24"/>
        </w:rPr>
        <w:t xml:space="preserve">Lyginant išorines mirties priežastis pagal lytį, </w:t>
      </w:r>
      <w:r>
        <w:rPr>
          <w:rFonts w:ascii="Times New Roman" w:hAnsi="Times New Roman"/>
          <w:sz w:val="24"/>
        </w:rPr>
        <w:t>matome</w:t>
      </w:r>
      <w:r w:rsidRPr="004B5E41">
        <w:rPr>
          <w:rFonts w:ascii="Times New Roman" w:hAnsi="Times New Roman"/>
          <w:sz w:val="24"/>
        </w:rPr>
        <w:t>, kad</w:t>
      </w:r>
      <w:r>
        <w:rPr>
          <w:rFonts w:ascii="Times New Roman" w:hAnsi="Times New Roman"/>
          <w:sz w:val="24"/>
        </w:rPr>
        <w:t xml:space="preserve"> daugiau vyrų mirė transporto įvykių metu</w:t>
      </w:r>
      <w:r w:rsidRPr="004B5E41">
        <w:rPr>
          <w:rFonts w:ascii="Times New Roman" w:hAnsi="Times New Roman"/>
          <w:sz w:val="24"/>
        </w:rPr>
        <w:t xml:space="preserve"> (</w:t>
      </w:r>
      <w:r>
        <w:rPr>
          <w:rFonts w:ascii="Times New Roman" w:hAnsi="Times New Roman"/>
          <w:sz w:val="24"/>
        </w:rPr>
        <w:t>vyrai 38</w:t>
      </w:r>
      <w:r w:rsidRPr="004B5E41">
        <w:rPr>
          <w:rFonts w:ascii="Times New Roman" w:hAnsi="Times New Roman"/>
          <w:sz w:val="24"/>
        </w:rPr>
        <w:t xml:space="preserve"> atvejo 100 000 gyv</w:t>
      </w:r>
      <w:r>
        <w:rPr>
          <w:rFonts w:ascii="Times New Roman" w:hAnsi="Times New Roman"/>
          <w:sz w:val="24"/>
        </w:rPr>
        <w:t>.). Duomenys rodo, kad apie 5 kartus daugiau vyrų, nei moterų, mirė tyčiai susižalojus (atitinkamai 70,5 atvejo 100 000 gyv. ir 14,3 atvejo 100 000 gyv.). 2 vyrai (10,8 atvejo 100 000 gyv.) ir 1 moteris (4,8 atvejo100 000 gyv.) mirė apsinuodijęs alkoholiu (žr. 14 pav.)</w:t>
      </w:r>
    </w:p>
    <w:p w:rsidR="00E15EFF" w:rsidRDefault="00E15EFF" w:rsidP="00E15EFF">
      <w:pPr>
        <w:spacing w:after="0" w:line="360" w:lineRule="auto"/>
        <w:ind w:firstLine="720"/>
        <w:jc w:val="both"/>
        <w:rPr>
          <w:rFonts w:ascii="Times New Roman" w:hAnsi="Times New Roman"/>
          <w:bCs/>
          <w:sz w:val="24"/>
          <w:szCs w:val="24"/>
        </w:rPr>
      </w:pPr>
      <w:r w:rsidRPr="002E2FD5">
        <w:rPr>
          <w:rFonts w:ascii="Times New Roman" w:hAnsi="Times New Roman"/>
          <w:bCs/>
          <w:noProof/>
          <w:sz w:val="24"/>
          <w:szCs w:val="24"/>
          <w:lang w:eastAsia="lt-LT"/>
        </w:rPr>
        <w:drawing>
          <wp:inline distT="0" distB="0" distL="0" distR="0" wp14:anchorId="405E74A1" wp14:editId="02AD162A">
            <wp:extent cx="5486400" cy="1819275"/>
            <wp:effectExtent l="0" t="0" r="19050" b="9525"/>
            <wp:docPr id="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5EFF" w:rsidRDefault="00E15EFF" w:rsidP="00E15EFF">
      <w:pPr>
        <w:spacing w:after="0" w:line="240" w:lineRule="auto"/>
        <w:ind w:right="851" w:firstLine="709"/>
        <w:jc w:val="center"/>
        <w:rPr>
          <w:rFonts w:ascii="Times New Roman" w:hAnsi="Times New Roman"/>
          <w:bCs/>
          <w:i/>
          <w:sz w:val="24"/>
          <w:szCs w:val="24"/>
        </w:rPr>
      </w:pPr>
      <w:r w:rsidRPr="00153091">
        <w:rPr>
          <w:rFonts w:ascii="Times New Roman" w:hAnsi="Times New Roman"/>
          <w:b/>
          <w:bCs/>
          <w:sz w:val="24"/>
          <w:szCs w:val="24"/>
        </w:rPr>
        <w:t>1</w:t>
      </w:r>
      <w:r>
        <w:rPr>
          <w:rFonts w:ascii="Times New Roman" w:hAnsi="Times New Roman"/>
          <w:b/>
          <w:bCs/>
          <w:sz w:val="24"/>
          <w:szCs w:val="24"/>
        </w:rPr>
        <w:t>4</w:t>
      </w:r>
      <w:r w:rsidRPr="00153091">
        <w:rPr>
          <w:rFonts w:ascii="Times New Roman" w:hAnsi="Times New Roman"/>
          <w:b/>
          <w:bCs/>
          <w:sz w:val="24"/>
          <w:szCs w:val="24"/>
        </w:rPr>
        <w:t xml:space="preserve"> pav.</w:t>
      </w:r>
      <w:r>
        <w:rPr>
          <w:rFonts w:ascii="Times New Roman" w:hAnsi="Times New Roman"/>
          <w:b/>
          <w:bCs/>
          <w:sz w:val="24"/>
          <w:szCs w:val="24"/>
        </w:rPr>
        <w:t xml:space="preserve"> Vyrų ir moterų</w:t>
      </w:r>
      <w:r w:rsidRPr="00153091">
        <w:rPr>
          <w:rFonts w:ascii="Times New Roman" w:hAnsi="Times New Roman"/>
          <w:b/>
          <w:bCs/>
          <w:sz w:val="24"/>
          <w:szCs w:val="24"/>
        </w:rPr>
        <w:t xml:space="preserve"> </w:t>
      </w:r>
      <w:r>
        <w:rPr>
          <w:rFonts w:ascii="Times New Roman" w:hAnsi="Times New Roman"/>
          <w:b/>
          <w:bCs/>
          <w:sz w:val="24"/>
          <w:szCs w:val="24"/>
        </w:rPr>
        <w:t>i</w:t>
      </w:r>
      <w:r w:rsidRPr="00153091">
        <w:rPr>
          <w:rFonts w:ascii="Times New Roman" w:hAnsi="Times New Roman"/>
          <w:b/>
          <w:bCs/>
          <w:sz w:val="24"/>
          <w:szCs w:val="24"/>
        </w:rPr>
        <w:t xml:space="preserve">šorinių mirties priežasčių struktūra </w:t>
      </w:r>
      <w:r>
        <w:rPr>
          <w:rFonts w:ascii="Times New Roman" w:hAnsi="Times New Roman"/>
          <w:b/>
          <w:bCs/>
          <w:sz w:val="24"/>
          <w:szCs w:val="24"/>
        </w:rPr>
        <w:t>Radviliškio</w:t>
      </w:r>
      <w:r w:rsidRPr="00153091">
        <w:rPr>
          <w:rFonts w:ascii="Times New Roman" w:hAnsi="Times New Roman"/>
          <w:b/>
          <w:bCs/>
          <w:sz w:val="24"/>
          <w:szCs w:val="24"/>
        </w:rPr>
        <w:t xml:space="preserve"> rajone 201</w:t>
      </w:r>
      <w:r>
        <w:rPr>
          <w:rFonts w:ascii="Times New Roman" w:hAnsi="Times New Roman"/>
          <w:b/>
          <w:bCs/>
          <w:sz w:val="24"/>
          <w:szCs w:val="24"/>
        </w:rPr>
        <w:t>4</w:t>
      </w:r>
      <w:r w:rsidRPr="00153091">
        <w:rPr>
          <w:rFonts w:ascii="Times New Roman" w:hAnsi="Times New Roman"/>
          <w:b/>
          <w:bCs/>
          <w:sz w:val="24"/>
          <w:szCs w:val="24"/>
        </w:rPr>
        <w:t xml:space="preserve"> m. (100 000 gyv.)</w:t>
      </w:r>
      <w:r w:rsidRPr="00153091">
        <w:rPr>
          <w:rFonts w:ascii="Times New Roman" w:hAnsi="Times New Roman"/>
          <w:b/>
          <w:bCs/>
          <w:sz w:val="24"/>
          <w:szCs w:val="24"/>
        </w:rPr>
        <w:br/>
      </w:r>
      <w:r w:rsidRPr="00AE0A11">
        <w:rPr>
          <w:rFonts w:ascii="Times New Roman" w:hAnsi="Times New Roman"/>
          <w:bCs/>
          <w:i/>
          <w:sz w:val="20"/>
          <w:szCs w:val="24"/>
        </w:rPr>
        <w:t>Šaltinis: Higienos instituto Sveikatos informacijos centras</w:t>
      </w:r>
    </w:p>
    <w:p w:rsidR="00E15EFF" w:rsidRDefault="00E15EFF" w:rsidP="00E15EFF"/>
    <w:p w:rsidR="00E15EFF" w:rsidRDefault="00E15EFF" w:rsidP="00E15EFF"/>
    <w:p w:rsidR="00E15EFF" w:rsidRDefault="00E15EFF" w:rsidP="00E15EFF"/>
    <w:p w:rsidR="00E15EFF" w:rsidRDefault="00E15EFF" w:rsidP="00E15EFF"/>
    <w:p w:rsidR="00E15EFF" w:rsidRDefault="00E15EFF" w:rsidP="00E15EFF"/>
    <w:p w:rsidR="00E15EFF" w:rsidRPr="00E15EFF" w:rsidRDefault="00E15EFF" w:rsidP="00E15EFF">
      <w:pPr>
        <w:jc w:val="right"/>
        <w:rPr>
          <w:rFonts w:ascii="Times New Roman" w:hAnsi="Times New Roman" w:cs="Times New Roman"/>
          <w:b/>
          <w:i/>
          <w:sz w:val="24"/>
        </w:rPr>
      </w:pPr>
      <w:r w:rsidRPr="00E15EFF">
        <w:rPr>
          <w:rFonts w:ascii="Times New Roman" w:hAnsi="Times New Roman" w:cs="Times New Roman"/>
          <w:b/>
          <w:i/>
          <w:sz w:val="24"/>
        </w:rPr>
        <w:t>Parengė: Radviliškio rajono visuomenės sveikatos biuras</w:t>
      </w:r>
    </w:p>
    <w:sectPr w:rsidR="00E15EFF" w:rsidRPr="00E15EF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FF"/>
    <w:rsid w:val="00393B32"/>
    <w:rsid w:val="00B520EE"/>
    <w:rsid w:val="00C23360"/>
    <w:rsid w:val="00D62924"/>
    <w:rsid w:val="00E15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5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E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E15EFF"/>
    <w:pPr>
      <w:spacing w:before="75" w:after="0" w:line="240" w:lineRule="auto"/>
      <w:ind w:firstLine="225"/>
      <w:jc w:val="both"/>
    </w:pPr>
    <w:rPr>
      <w:rFonts w:ascii="Times New Roman" w:eastAsia="Times New Roman" w:hAnsi="Times New Roman" w:cs="Times New Roman"/>
      <w:noProof/>
      <w:color w:val="525252"/>
      <w:sz w:val="18"/>
      <w:szCs w:val="18"/>
      <w:lang w:eastAsia="lt-LT"/>
    </w:rPr>
  </w:style>
  <w:style w:type="paragraph" w:styleId="ListParagraph">
    <w:name w:val="List Paragraph"/>
    <w:basedOn w:val="Normal"/>
    <w:uiPriority w:val="99"/>
    <w:qFormat/>
    <w:rsid w:val="00E15EFF"/>
    <w:pPr>
      <w:ind w:left="720"/>
      <w:contextualSpacing/>
    </w:pPr>
    <w:rPr>
      <w:rFonts w:ascii="Times New Roman" w:eastAsia="Times New Roman" w:hAnsi="Times New Roman" w:cs="Times New Roman"/>
      <w:sz w:val="24"/>
      <w:lang w:eastAsia="lt-LT"/>
    </w:rPr>
  </w:style>
  <w:style w:type="table" w:styleId="TableGrid">
    <w:name w:val="Table Grid"/>
    <w:basedOn w:val="TableNormal"/>
    <w:uiPriority w:val="59"/>
    <w:rsid w:val="00E15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rsid w:val="00E15EF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E15EFF"/>
    <w:rPr>
      <w:rFonts w:ascii="Courier New" w:eastAsia="Times New Roman" w:hAnsi="Courier New" w:cs="Courier New"/>
      <w:sz w:val="20"/>
      <w:szCs w:val="20"/>
      <w:lang w:val="en-US"/>
    </w:rPr>
  </w:style>
  <w:style w:type="paragraph" w:styleId="NoSpacing">
    <w:name w:val="No Spacing"/>
    <w:link w:val="NoSpacingChar"/>
    <w:uiPriority w:val="1"/>
    <w:qFormat/>
    <w:rsid w:val="00E15EFF"/>
    <w:pPr>
      <w:spacing w:after="0" w:line="240" w:lineRule="auto"/>
    </w:pPr>
    <w:rPr>
      <w:rFonts w:ascii="Times New Roman" w:hAnsi="Times New Roman"/>
    </w:rPr>
  </w:style>
  <w:style w:type="character" w:customStyle="1" w:styleId="NoSpacingChar">
    <w:name w:val="No Spacing Char"/>
    <w:basedOn w:val="DefaultParagraphFont"/>
    <w:link w:val="NoSpacing"/>
    <w:uiPriority w:val="1"/>
    <w:locked/>
    <w:rsid w:val="00E15EFF"/>
    <w:rPr>
      <w:rFonts w:ascii="Times New Roman" w:hAnsi="Times New Roman"/>
    </w:rPr>
  </w:style>
  <w:style w:type="paragraph" w:styleId="BalloonText">
    <w:name w:val="Balloon Text"/>
    <w:basedOn w:val="Normal"/>
    <w:link w:val="BalloonTextChar"/>
    <w:uiPriority w:val="99"/>
    <w:semiHidden/>
    <w:unhideWhenUsed/>
    <w:rsid w:val="00E1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5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E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E15EFF"/>
    <w:pPr>
      <w:spacing w:before="75" w:after="0" w:line="240" w:lineRule="auto"/>
      <w:ind w:firstLine="225"/>
      <w:jc w:val="both"/>
    </w:pPr>
    <w:rPr>
      <w:rFonts w:ascii="Times New Roman" w:eastAsia="Times New Roman" w:hAnsi="Times New Roman" w:cs="Times New Roman"/>
      <w:noProof/>
      <w:color w:val="525252"/>
      <w:sz w:val="18"/>
      <w:szCs w:val="18"/>
      <w:lang w:eastAsia="lt-LT"/>
    </w:rPr>
  </w:style>
  <w:style w:type="paragraph" w:styleId="ListParagraph">
    <w:name w:val="List Paragraph"/>
    <w:basedOn w:val="Normal"/>
    <w:uiPriority w:val="99"/>
    <w:qFormat/>
    <w:rsid w:val="00E15EFF"/>
    <w:pPr>
      <w:ind w:left="720"/>
      <w:contextualSpacing/>
    </w:pPr>
    <w:rPr>
      <w:rFonts w:ascii="Times New Roman" w:eastAsia="Times New Roman" w:hAnsi="Times New Roman" w:cs="Times New Roman"/>
      <w:sz w:val="24"/>
      <w:lang w:eastAsia="lt-LT"/>
    </w:rPr>
  </w:style>
  <w:style w:type="table" w:styleId="TableGrid">
    <w:name w:val="Table Grid"/>
    <w:basedOn w:val="TableNormal"/>
    <w:uiPriority w:val="59"/>
    <w:rsid w:val="00E15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rsid w:val="00E15EF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E15EFF"/>
    <w:rPr>
      <w:rFonts w:ascii="Courier New" w:eastAsia="Times New Roman" w:hAnsi="Courier New" w:cs="Courier New"/>
      <w:sz w:val="20"/>
      <w:szCs w:val="20"/>
      <w:lang w:val="en-US"/>
    </w:rPr>
  </w:style>
  <w:style w:type="paragraph" w:styleId="NoSpacing">
    <w:name w:val="No Spacing"/>
    <w:link w:val="NoSpacingChar"/>
    <w:uiPriority w:val="1"/>
    <w:qFormat/>
    <w:rsid w:val="00E15EFF"/>
    <w:pPr>
      <w:spacing w:after="0" w:line="240" w:lineRule="auto"/>
    </w:pPr>
    <w:rPr>
      <w:rFonts w:ascii="Times New Roman" w:hAnsi="Times New Roman"/>
    </w:rPr>
  </w:style>
  <w:style w:type="character" w:customStyle="1" w:styleId="NoSpacingChar">
    <w:name w:val="No Spacing Char"/>
    <w:basedOn w:val="DefaultParagraphFont"/>
    <w:link w:val="NoSpacing"/>
    <w:uiPriority w:val="1"/>
    <w:locked/>
    <w:rsid w:val="00E15EFF"/>
    <w:rPr>
      <w:rFonts w:ascii="Times New Roman" w:hAnsi="Times New Roman"/>
    </w:rPr>
  </w:style>
  <w:style w:type="paragraph" w:styleId="BalloonText">
    <w:name w:val="Balloon Text"/>
    <w:basedOn w:val="Normal"/>
    <w:link w:val="BalloonTextChar"/>
    <w:uiPriority w:val="99"/>
    <w:semiHidden/>
    <w:unhideWhenUsed/>
    <w:rsid w:val="00E1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microsoft.com/office/2007/relationships/stylesWithEffects" Target="stylesWithEffects.xml"/><Relationship Id="rId16" Type="http://schemas.openxmlformats.org/officeDocument/2006/relationships/chart" Target="charts/chart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Sheet1!$B$1</c:f>
              <c:strCache>
                <c:ptCount val="1"/>
                <c:pt idx="0">
                  <c:v>Series 1</c:v>
                </c:pt>
              </c:strCache>
            </c:strRef>
          </c:tx>
          <c:spPr>
            <a:ln>
              <a:solidFill>
                <a:srgbClr val="FF0000"/>
              </a:solidFill>
            </a:ln>
          </c:spPr>
          <c:marker>
            <c:spPr>
              <a:solidFill>
                <a:srgbClr val="FF0000"/>
              </a:solidFill>
              <a:ln>
                <a:solidFill>
                  <a:srgbClr val="FF0000"/>
                </a:solidFill>
              </a:ln>
            </c:spPr>
          </c:marker>
          <c:dLbls>
            <c:dLblPos val="t"/>
            <c:showLegendKey val="0"/>
            <c:showVal val="1"/>
            <c:showCatName val="0"/>
            <c:showSerName val="0"/>
            <c:showPercent val="0"/>
            <c:showBubbleSize val="0"/>
            <c:showLeaderLines val="0"/>
          </c:dLbls>
          <c:cat>
            <c:strRef>
              <c:f>Sheet1!$A$2:$A$7</c:f>
              <c:strCache>
                <c:ptCount val="6"/>
                <c:pt idx="0">
                  <c:v>2010 m.</c:v>
                </c:pt>
                <c:pt idx="1">
                  <c:v>2011 m.</c:v>
                </c:pt>
                <c:pt idx="2">
                  <c:v>2012 m.</c:v>
                </c:pt>
                <c:pt idx="3">
                  <c:v>2013 m.</c:v>
                </c:pt>
                <c:pt idx="4">
                  <c:v>2014 m.</c:v>
                </c:pt>
                <c:pt idx="5">
                  <c:v>2015 m.</c:v>
                </c:pt>
              </c:strCache>
            </c:strRef>
          </c:cat>
          <c:val>
            <c:numRef>
              <c:f>Sheet1!$B$2:$B$7</c:f>
              <c:numCache>
                <c:formatCode>General</c:formatCode>
                <c:ptCount val="6"/>
                <c:pt idx="0">
                  <c:v>44518</c:v>
                </c:pt>
                <c:pt idx="1">
                  <c:v>42606</c:v>
                </c:pt>
                <c:pt idx="2">
                  <c:v>41489</c:v>
                </c:pt>
                <c:pt idx="3">
                  <c:v>40567</c:v>
                </c:pt>
                <c:pt idx="4">
                  <c:v>39689</c:v>
                </c:pt>
                <c:pt idx="5">
                  <c:v>39043</c:v>
                </c:pt>
              </c:numCache>
            </c:numRef>
          </c:val>
          <c:smooth val="0"/>
        </c:ser>
        <c:dLbls>
          <c:showLegendKey val="0"/>
          <c:showVal val="1"/>
          <c:showCatName val="0"/>
          <c:showSerName val="0"/>
          <c:showPercent val="0"/>
          <c:showBubbleSize val="0"/>
        </c:dLbls>
        <c:marker val="1"/>
        <c:smooth val="0"/>
        <c:axId val="110035712"/>
        <c:axId val="110035328"/>
      </c:lineChart>
      <c:catAx>
        <c:axId val="110035712"/>
        <c:scaling>
          <c:orientation val="minMax"/>
        </c:scaling>
        <c:delete val="0"/>
        <c:axPos val="b"/>
        <c:majorTickMark val="out"/>
        <c:minorTickMark val="none"/>
        <c:tickLblPos val="nextTo"/>
        <c:crossAx val="110035328"/>
        <c:crosses val="autoZero"/>
        <c:auto val="1"/>
        <c:lblAlgn val="ctr"/>
        <c:lblOffset val="100"/>
        <c:noMultiLvlLbl val="0"/>
      </c:catAx>
      <c:valAx>
        <c:axId val="110035328"/>
        <c:scaling>
          <c:orientation val="minMax"/>
        </c:scaling>
        <c:delete val="0"/>
        <c:axPos val="l"/>
        <c:majorGridlines/>
        <c:numFmt formatCode="General" sourceLinked="1"/>
        <c:majorTickMark val="out"/>
        <c:minorTickMark val="none"/>
        <c:tickLblPos val="nextTo"/>
        <c:crossAx val="110035712"/>
        <c:crosses val="autoZero"/>
        <c:crossBetween val="between"/>
      </c:valAx>
    </c:plotArea>
    <c:plotVisOnly val="1"/>
    <c:dispBlanksAs val="gap"/>
    <c:showDLblsOverMax val="0"/>
  </c:chart>
  <c:txPr>
    <a:bodyPr/>
    <a:lstStyle/>
    <a:p>
      <a:pPr>
        <a:defRPr b="1">
          <a:latin typeface="Times New Roman" pitchFamily="18" charset="0"/>
          <a:cs typeface="Times New Roman"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Lapas1!$B$1</c:f>
              <c:strCache>
                <c:ptCount val="1"/>
                <c:pt idx="0">
                  <c:v>Lietuvos Respublika</c:v>
                </c:pt>
              </c:strCache>
            </c:strRef>
          </c:tx>
          <c:spPr>
            <a:solidFill>
              <a:srgbClr val="66FF33"/>
            </a:solidFill>
          </c:spPr>
          <c:invertIfNegative val="0"/>
          <c:dLbls>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Lapas1!$B$2:$B$4</c:f>
              <c:numCache>
                <c:formatCode>General</c:formatCode>
                <c:ptCount val="3"/>
                <c:pt idx="0">
                  <c:v>3.9</c:v>
                </c:pt>
                <c:pt idx="1">
                  <c:v>3.7</c:v>
                </c:pt>
                <c:pt idx="2">
                  <c:v>3.9</c:v>
                </c:pt>
              </c:numCache>
            </c:numRef>
          </c:val>
        </c:ser>
        <c:ser>
          <c:idx val="1"/>
          <c:order val="1"/>
          <c:tx>
            <c:strRef>
              <c:f>Lapas1!$C$1</c:f>
              <c:strCache>
                <c:ptCount val="1"/>
                <c:pt idx="0">
                  <c:v>Radviliškio rajonas</c:v>
                </c:pt>
              </c:strCache>
            </c:strRef>
          </c:tx>
          <c:spPr>
            <a:solidFill>
              <a:srgbClr val="FF0000"/>
            </a:solidFill>
          </c:spPr>
          <c:invertIfNegative val="0"/>
          <c:dLbls>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Lapas1!$C$2:$C$4</c:f>
              <c:numCache>
                <c:formatCode>General</c:formatCode>
                <c:ptCount val="3"/>
                <c:pt idx="0">
                  <c:v>11.3</c:v>
                </c:pt>
                <c:pt idx="1">
                  <c:v>7.5</c:v>
                </c:pt>
                <c:pt idx="2">
                  <c:v>2.8</c:v>
                </c:pt>
              </c:numCache>
            </c:numRef>
          </c:val>
        </c:ser>
        <c:dLbls>
          <c:showLegendKey val="0"/>
          <c:showVal val="0"/>
          <c:showCatName val="0"/>
          <c:showSerName val="0"/>
          <c:showPercent val="0"/>
          <c:showBubbleSize val="0"/>
        </c:dLbls>
        <c:gapWidth val="150"/>
        <c:overlap val="-25"/>
        <c:axId val="109053056"/>
        <c:axId val="109054592"/>
      </c:barChart>
      <c:catAx>
        <c:axId val="109053056"/>
        <c:scaling>
          <c:orientation val="minMax"/>
        </c:scaling>
        <c:delete val="0"/>
        <c:axPos val="b"/>
        <c:majorGridlines/>
        <c:majorTickMark val="out"/>
        <c:minorTickMark val="none"/>
        <c:tickLblPos val="nextTo"/>
        <c:crossAx val="109054592"/>
        <c:crosses val="autoZero"/>
        <c:auto val="1"/>
        <c:lblAlgn val="ctr"/>
        <c:lblOffset val="100"/>
        <c:noMultiLvlLbl val="0"/>
      </c:catAx>
      <c:valAx>
        <c:axId val="109054592"/>
        <c:scaling>
          <c:orientation val="minMax"/>
        </c:scaling>
        <c:delete val="0"/>
        <c:axPos val="l"/>
        <c:numFmt formatCode="General" sourceLinked="1"/>
        <c:majorTickMark val="out"/>
        <c:minorTickMark val="none"/>
        <c:tickLblPos val="nextTo"/>
        <c:crossAx val="109053056"/>
        <c:crosses val="autoZero"/>
        <c:crossBetween val="between"/>
      </c:valAx>
    </c:plotArea>
    <c:legend>
      <c:legendPos val="r"/>
      <c:overlay val="0"/>
    </c:legend>
    <c:plotVisOnly val="1"/>
    <c:dispBlanksAs val="gap"/>
    <c:showDLblsOverMax val="0"/>
  </c:chart>
  <c:txPr>
    <a:bodyPr/>
    <a:lstStyle/>
    <a:p>
      <a:pPr>
        <a:defRPr b="1" i="0" baseline="0">
          <a:latin typeface="Times New Roman" pitchFamily="18" charset="0"/>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Sheet1!$B$1</c:f>
              <c:strCache>
                <c:ptCount val="1"/>
                <c:pt idx="0">
                  <c:v>2012 m.</c:v>
                </c:pt>
              </c:strCache>
            </c:strRef>
          </c:tx>
          <c:spPr>
            <a:solidFill>
              <a:srgbClr val="00B0F0"/>
            </a:solidFill>
          </c:spPr>
          <c:invertIfNegative val="0"/>
          <c:cat>
            <c:strRef>
              <c:f>Sheet1!$A$2:$A$6</c:f>
              <c:strCache>
                <c:ptCount val="5"/>
                <c:pt idx="0">
                  <c:v>Infekcinės ligos</c:v>
                </c:pt>
                <c:pt idx="1">
                  <c:v>Piktybiniai navikai</c:v>
                </c:pt>
                <c:pt idx="2">
                  <c:v>Kraujotakos sistemos ligos</c:v>
                </c:pt>
                <c:pt idx="3">
                  <c:v>Kvėpavimo organų ligos</c:v>
                </c:pt>
                <c:pt idx="4">
                  <c:v>Išorinės mirties priežastys</c:v>
                </c:pt>
              </c:strCache>
            </c:strRef>
          </c:cat>
          <c:val>
            <c:numRef>
              <c:f>Sheet1!$B$2:$B$6</c:f>
              <c:numCache>
                <c:formatCode>General</c:formatCode>
                <c:ptCount val="5"/>
                <c:pt idx="0">
                  <c:v>34.1</c:v>
                </c:pt>
                <c:pt idx="1">
                  <c:v>275.39999999999998</c:v>
                </c:pt>
                <c:pt idx="2">
                  <c:v>1048.0999999999999</c:v>
                </c:pt>
                <c:pt idx="3">
                  <c:v>51.2</c:v>
                </c:pt>
                <c:pt idx="4">
                  <c:v>141.4</c:v>
                </c:pt>
              </c:numCache>
            </c:numRef>
          </c:val>
        </c:ser>
        <c:ser>
          <c:idx val="1"/>
          <c:order val="1"/>
          <c:tx>
            <c:strRef>
              <c:f>Sheet1!$C$1</c:f>
              <c:strCache>
                <c:ptCount val="1"/>
                <c:pt idx="0">
                  <c:v>2013 m.</c:v>
                </c:pt>
              </c:strCache>
            </c:strRef>
          </c:tx>
          <c:spPr>
            <a:solidFill>
              <a:srgbClr val="53FF1D"/>
            </a:solidFill>
          </c:spPr>
          <c:invertIfNegative val="0"/>
          <c:cat>
            <c:strRef>
              <c:f>Sheet1!$A$2:$A$6</c:f>
              <c:strCache>
                <c:ptCount val="5"/>
                <c:pt idx="0">
                  <c:v>Infekcinės ligos</c:v>
                </c:pt>
                <c:pt idx="1">
                  <c:v>Piktybiniai navikai</c:v>
                </c:pt>
                <c:pt idx="2">
                  <c:v>Kraujotakos sistemos ligos</c:v>
                </c:pt>
                <c:pt idx="3">
                  <c:v>Kvėpavimo organų ligos</c:v>
                </c:pt>
                <c:pt idx="4">
                  <c:v>Išorinės mirties priežastys</c:v>
                </c:pt>
              </c:strCache>
            </c:strRef>
          </c:cat>
          <c:val>
            <c:numRef>
              <c:f>Sheet1!$C$2:$C$6</c:f>
              <c:numCache>
                <c:formatCode>General</c:formatCode>
                <c:ptCount val="5"/>
                <c:pt idx="0">
                  <c:v>49.8</c:v>
                </c:pt>
                <c:pt idx="1">
                  <c:v>261.7</c:v>
                </c:pt>
                <c:pt idx="2">
                  <c:v>1066.5999999999999</c:v>
                </c:pt>
                <c:pt idx="3">
                  <c:v>64.8</c:v>
                </c:pt>
                <c:pt idx="4">
                  <c:v>152</c:v>
                </c:pt>
              </c:numCache>
            </c:numRef>
          </c:val>
        </c:ser>
        <c:ser>
          <c:idx val="2"/>
          <c:order val="2"/>
          <c:tx>
            <c:strRef>
              <c:f>Sheet1!$D$1</c:f>
              <c:strCache>
                <c:ptCount val="1"/>
                <c:pt idx="0">
                  <c:v>2014 m.</c:v>
                </c:pt>
              </c:strCache>
            </c:strRef>
          </c:tx>
          <c:spPr>
            <a:solidFill>
              <a:srgbClr val="FF0000"/>
            </a:solidFill>
          </c:spPr>
          <c:invertIfNegative val="0"/>
          <c:cat>
            <c:strRef>
              <c:f>Sheet1!$A$2:$A$6</c:f>
              <c:strCache>
                <c:ptCount val="5"/>
                <c:pt idx="0">
                  <c:v>Infekcinės ligos</c:v>
                </c:pt>
                <c:pt idx="1">
                  <c:v>Piktybiniai navikai</c:v>
                </c:pt>
                <c:pt idx="2">
                  <c:v>Kraujotakos sistemos ligos</c:v>
                </c:pt>
                <c:pt idx="3">
                  <c:v>Kvėpavimo organų ligos</c:v>
                </c:pt>
                <c:pt idx="4">
                  <c:v>Išorinės mirties priežastys</c:v>
                </c:pt>
              </c:strCache>
            </c:strRef>
          </c:cat>
          <c:val>
            <c:numRef>
              <c:f>Sheet1!$D$2:$D$6</c:f>
              <c:numCache>
                <c:formatCode>General</c:formatCode>
                <c:ptCount val="5"/>
                <c:pt idx="0">
                  <c:v>17.8</c:v>
                </c:pt>
                <c:pt idx="1">
                  <c:v>312.5</c:v>
                </c:pt>
                <c:pt idx="2">
                  <c:v>904.3</c:v>
                </c:pt>
                <c:pt idx="3">
                  <c:v>55.9</c:v>
                </c:pt>
                <c:pt idx="4">
                  <c:v>121.9</c:v>
                </c:pt>
              </c:numCache>
            </c:numRef>
          </c:val>
        </c:ser>
        <c:dLbls>
          <c:dLblPos val="outEnd"/>
          <c:showLegendKey val="0"/>
          <c:showVal val="1"/>
          <c:showCatName val="0"/>
          <c:showSerName val="0"/>
          <c:showPercent val="0"/>
          <c:showBubbleSize val="0"/>
        </c:dLbls>
        <c:gapWidth val="150"/>
        <c:axId val="109749760"/>
        <c:axId val="109751296"/>
      </c:barChart>
      <c:catAx>
        <c:axId val="109749760"/>
        <c:scaling>
          <c:orientation val="minMax"/>
        </c:scaling>
        <c:delete val="0"/>
        <c:axPos val="l"/>
        <c:majorTickMark val="out"/>
        <c:minorTickMark val="none"/>
        <c:tickLblPos val="nextTo"/>
        <c:txPr>
          <a:bodyPr/>
          <a:lstStyle/>
          <a:p>
            <a:pPr>
              <a:defRPr sz="1000"/>
            </a:pPr>
            <a:endParaRPr lang="lt-LT"/>
          </a:p>
        </c:txPr>
        <c:crossAx val="109751296"/>
        <c:crosses val="autoZero"/>
        <c:auto val="1"/>
        <c:lblAlgn val="ctr"/>
        <c:lblOffset val="100"/>
        <c:noMultiLvlLbl val="0"/>
      </c:catAx>
      <c:valAx>
        <c:axId val="109751296"/>
        <c:scaling>
          <c:orientation val="minMax"/>
        </c:scaling>
        <c:delete val="0"/>
        <c:axPos val="b"/>
        <c:majorGridlines/>
        <c:numFmt formatCode="General" sourceLinked="1"/>
        <c:majorTickMark val="out"/>
        <c:minorTickMark val="none"/>
        <c:tickLblPos val="nextTo"/>
        <c:crossAx val="109749760"/>
        <c:crosses val="autoZero"/>
        <c:crossBetween val="between"/>
      </c:valAx>
    </c:plotArea>
    <c:legend>
      <c:legendPos val="r"/>
      <c:overlay val="0"/>
      <c:txPr>
        <a:bodyPr/>
        <a:lstStyle/>
        <a:p>
          <a:pPr>
            <a:defRPr sz="900"/>
          </a:pPr>
          <a:endParaRPr lang="lt-LT"/>
        </a:p>
      </c:txPr>
    </c:legend>
    <c:plotVisOnly val="1"/>
    <c:dispBlanksAs val="gap"/>
    <c:showDLblsOverMax val="0"/>
  </c:chart>
  <c:txPr>
    <a:bodyPr/>
    <a:lstStyle/>
    <a:p>
      <a:pPr>
        <a:defRPr b="1">
          <a:latin typeface="Times New Roman" pitchFamily="18" charset="0"/>
          <a:cs typeface="Times New Roman" pitchFamily="18" charset="0"/>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Lapas1!$B$1</c:f>
              <c:strCache>
                <c:ptCount val="1"/>
                <c:pt idx="0">
                  <c:v>Vyrai</c:v>
                </c:pt>
              </c:strCache>
            </c:strRef>
          </c:tx>
          <c:spPr>
            <a:solidFill>
              <a:srgbClr val="00B0F0"/>
            </a:solidFill>
          </c:spPr>
          <c:invertIfNegative val="0"/>
          <c:dLbls>
            <c:showLegendKey val="0"/>
            <c:showVal val="1"/>
            <c:showCatName val="0"/>
            <c:showSerName val="0"/>
            <c:showPercent val="0"/>
            <c:showBubbleSize val="0"/>
            <c:showLeaderLines val="0"/>
          </c:dLbls>
          <c:cat>
            <c:strRef>
              <c:f>Lapas1!$A$2:$A$7</c:f>
              <c:strCache>
                <c:ptCount val="6"/>
                <c:pt idx="0">
                  <c:v>Piktybiniai navikai</c:v>
                </c:pt>
                <c:pt idx="1">
                  <c:v>Kraujotakos sistemos ligos</c:v>
                </c:pt>
                <c:pt idx="2">
                  <c:v>Kvėpavimo sistemos ligos</c:v>
                </c:pt>
                <c:pt idx="3">
                  <c:v>Išorinės mirties priežastys</c:v>
                </c:pt>
                <c:pt idx="4">
                  <c:v>Infekcinės ligos</c:v>
                </c:pt>
                <c:pt idx="5">
                  <c:v>Virškinimo sistemos ligos</c:v>
                </c:pt>
              </c:strCache>
            </c:strRef>
          </c:cat>
          <c:val>
            <c:numRef>
              <c:f>Lapas1!$B$2:$B$7</c:f>
              <c:numCache>
                <c:formatCode>General</c:formatCode>
                <c:ptCount val="6"/>
                <c:pt idx="0">
                  <c:v>434</c:v>
                </c:pt>
                <c:pt idx="1">
                  <c:v>802.9</c:v>
                </c:pt>
                <c:pt idx="2">
                  <c:v>75.900000000000006</c:v>
                </c:pt>
                <c:pt idx="3">
                  <c:v>217</c:v>
                </c:pt>
                <c:pt idx="4">
                  <c:v>27.1</c:v>
                </c:pt>
                <c:pt idx="5">
                  <c:v>92.9</c:v>
                </c:pt>
              </c:numCache>
            </c:numRef>
          </c:val>
        </c:ser>
        <c:ser>
          <c:idx val="1"/>
          <c:order val="1"/>
          <c:tx>
            <c:strRef>
              <c:f>Lapas1!$C$1</c:f>
              <c:strCache>
                <c:ptCount val="1"/>
                <c:pt idx="0">
                  <c:v>Moterys</c:v>
                </c:pt>
              </c:strCache>
            </c:strRef>
          </c:tx>
          <c:spPr>
            <a:solidFill>
              <a:srgbClr val="FF0000"/>
            </a:solidFill>
          </c:spPr>
          <c:invertIfNegative val="0"/>
          <c:dLbls>
            <c:showLegendKey val="0"/>
            <c:showVal val="1"/>
            <c:showCatName val="0"/>
            <c:showSerName val="0"/>
            <c:showPercent val="0"/>
            <c:showBubbleSize val="0"/>
            <c:showLeaderLines val="0"/>
          </c:dLbls>
          <c:cat>
            <c:strRef>
              <c:f>Lapas1!$A$2:$A$7</c:f>
              <c:strCache>
                <c:ptCount val="6"/>
                <c:pt idx="0">
                  <c:v>Piktybiniai navikai</c:v>
                </c:pt>
                <c:pt idx="1">
                  <c:v>Kraujotakos sistemos ligos</c:v>
                </c:pt>
                <c:pt idx="2">
                  <c:v>Kvėpavimo sistemos ligos</c:v>
                </c:pt>
                <c:pt idx="3">
                  <c:v>Išorinės mirties priežastys</c:v>
                </c:pt>
                <c:pt idx="4">
                  <c:v>Infekcinės ligos</c:v>
                </c:pt>
                <c:pt idx="5">
                  <c:v>Virškinimo sistemos ligos</c:v>
                </c:pt>
              </c:strCache>
            </c:strRef>
          </c:cat>
          <c:val>
            <c:numRef>
              <c:f>Lapas1!$C$2:$C$7</c:f>
              <c:numCache>
                <c:formatCode>General</c:formatCode>
                <c:ptCount val="6"/>
                <c:pt idx="0">
                  <c:v>205.4</c:v>
                </c:pt>
                <c:pt idx="1">
                  <c:v>993.7</c:v>
                </c:pt>
                <c:pt idx="2">
                  <c:v>38.200000000000003</c:v>
                </c:pt>
                <c:pt idx="3">
                  <c:v>38.200000000000003</c:v>
                </c:pt>
                <c:pt idx="4">
                  <c:v>9.6</c:v>
                </c:pt>
                <c:pt idx="5">
                  <c:v>119.4</c:v>
                </c:pt>
              </c:numCache>
            </c:numRef>
          </c:val>
        </c:ser>
        <c:dLbls>
          <c:showLegendKey val="0"/>
          <c:showVal val="0"/>
          <c:showCatName val="0"/>
          <c:showSerName val="0"/>
          <c:showPercent val="0"/>
          <c:showBubbleSize val="0"/>
        </c:dLbls>
        <c:gapWidth val="150"/>
        <c:axId val="109789568"/>
        <c:axId val="109791104"/>
      </c:barChart>
      <c:catAx>
        <c:axId val="109789568"/>
        <c:scaling>
          <c:orientation val="minMax"/>
        </c:scaling>
        <c:delete val="0"/>
        <c:axPos val="l"/>
        <c:majorGridlines/>
        <c:majorTickMark val="out"/>
        <c:minorTickMark val="none"/>
        <c:tickLblPos val="nextTo"/>
        <c:crossAx val="109791104"/>
        <c:crosses val="autoZero"/>
        <c:auto val="1"/>
        <c:lblAlgn val="ctr"/>
        <c:lblOffset val="100"/>
        <c:noMultiLvlLbl val="0"/>
      </c:catAx>
      <c:valAx>
        <c:axId val="109791104"/>
        <c:scaling>
          <c:orientation val="minMax"/>
        </c:scaling>
        <c:delete val="0"/>
        <c:axPos val="b"/>
        <c:numFmt formatCode="General" sourceLinked="1"/>
        <c:majorTickMark val="out"/>
        <c:minorTickMark val="none"/>
        <c:tickLblPos val="nextTo"/>
        <c:crossAx val="109789568"/>
        <c:crosses val="autoZero"/>
        <c:crossBetween val="between"/>
      </c:valAx>
    </c:plotArea>
    <c:legend>
      <c:legendPos val="r"/>
      <c:overlay val="0"/>
    </c:legend>
    <c:plotVisOnly val="1"/>
    <c:dispBlanksAs val="gap"/>
    <c:showDLblsOverMax val="0"/>
  </c:chart>
  <c:txPr>
    <a:bodyPr/>
    <a:lstStyle/>
    <a:p>
      <a:pPr>
        <a:defRPr b="1" i="0" baseline="0">
          <a:latin typeface="Times New Roman" pitchFamily="18" charset="0"/>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Lapas1!$B$1</c:f>
              <c:strCache>
                <c:ptCount val="1"/>
                <c:pt idx="0">
                  <c:v>Lietuvos Respublika</c:v>
                </c:pt>
              </c:strCache>
            </c:strRef>
          </c:tx>
          <c:spPr>
            <a:solidFill>
              <a:srgbClr val="66FF33"/>
            </a:solidFill>
          </c:spPr>
          <c:invertIfNegative val="0"/>
          <c:dLbls>
            <c:showLegendKey val="0"/>
            <c:showVal val="1"/>
            <c:showCatName val="0"/>
            <c:showSerName val="0"/>
            <c:showPercent val="0"/>
            <c:showBubbleSize val="0"/>
            <c:showLeaderLines val="0"/>
          </c:dLbls>
          <c:cat>
            <c:strRef>
              <c:f>Lapas1!$A$2:$A$5</c:f>
              <c:strCache>
                <c:ptCount val="4"/>
                <c:pt idx="0">
                  <c:v>Transporto įvykiai</c:v>
                </c:pt>
                <c:pt idx="1">
                  <c:v>Apsinuodijimai alkoholiu</c:v>
                </c:pt>
                <c:pt idx="2">
                  <c:v>Tyčiniai susižalojimai</c:v>
                </c:pt>
                <c:pt idx="3">
                  <c:v>Pasikėsinimai</c:v>
                </c:pt>
              </c:strCache>
            </c:strRef>
          </c:cat>
          <c:val>
            <c:numRef>
              <c:f>Lapas1!$B$2:$B$5</c:f>
              <c:numCache>
                <c:formatCode>General</c:formatCode>
                <c:ptCount val="4"/>
                <c:pt idx="0">
                  <c:v>11.1</c:v>
                </c:pt>
                <c:pt idx="1">
                  <c:v>8.3000000000000007</c:v>
                </c:pt>
                <c:pt idx="2">
                  <c:v>31.7</c:v>
                </c:pt>
                <c:pt idx="3">
                  <c:v>3.8</c:v>
                </c:pt>
              </c:numCache>
            </c:numRef>
          </c:val>
        </c:ser>
        <c:ser>
          <c:idx val="1"/>
          <c:order val="1"/>
          <c:tx>
            <c:strRef>
              <c:f>Lapas1!$C$1</c:f>
              <c:strCache>
                <c:ptCount val="1"/>
                <c:pt idx="0">
                  <c:v>Radviliškio rajonas</c:v>
                </c:pt>
              </c:strCache>
            </c:strRef>
          </c:tx>
          <c:spPr>
            <a:solidFill>
              <a:srgbClr val="FF0000"/>
            </a:solidFill>
          </c:spPr>
          <c:invertIfNegative val="0"/>
          <c:dLbls>
            <c:showLegendKey val="0"/>
            <c:showVal val="1"/>
            <c:showCatName val="0"/>
            <c:showSerName val="0"/>
            <c:showPercent val="0"/>
            <c:showBubbleSize val="0"/>
            <c:showLeaderLines val="0"/>
          </c:dLbls>
          <c:cat>
            <c:strRef>
              <c:f>Lapas1!$A$2:$A$5</c:f>
              <c:strCache>
                <c:ptCount val="4"/>
                <c:pt idx="0">
                  <c:v>Transporto įvykiai</c:v>
                </c:pt>
                <c:pt idx="1">
                  <c:v>Apsinuodijimai alkoholiu</c:v>
                </c:pt>
                <c:pt idx="2">
                  <c:v>Tyčiniai susižalojimai</c:v>
                </c:pt>
                <c:pt idx="3">
                  <c:v>Pasikėsinimai</c:v>
                </c:pt>
              </c:strCache>
            </c:strRef>
          </c:cat>
          <c:val>
            <c:numRef>
              <c:f>Lapas1!$C$2:$C$5</c:f>
              <c:numCache>
                <c:formatCode>General</c:formatCode>
                <c:ptCount val="4"/>
                <c:pt idx="0">
                  <c:v>17.8</c:v>
                </c:pt>
                <c:pt idx="1">
                  <c:v>7.6</c:v>
                </c:pt>
                <c:pt idx="2">
                  <c:v>40.6</c:v>
                </c:pt>
                <c:pt idx="3">
                  <c:v>0</c:v>
                </c:pt>
              </c:numCache>
            </c:numRef>
          </c:val>
        </c:ser>
        <c:dLbls>
          <c:showLegendKey val="0"/>
          <c:showVal val="0"/>
          <c:showCatName val="0"/>
          <c:showSerName val="0"/>
          <c:showPercent val="0"/>
          <c:showBubbleSize val="0"/>
        </c:dLbls>
        <c:gapWidth val="150"/>
        <c:overlap val="-25"/>
        <c:axId val="109890560"/>
        <c:axId val="109892352"/>
      </c:barChart>
      <c:catAx>
        <c:axId val="109890560"/>
        <c:scaling>
          <c:orientation val="minMax"/>
        </c:scaling>
        <c:delete val="0"/>
        <c:axPos val="l"/>
        <c:majorGridlines/>
        <c:majorTickMark val="out"/>
        <c:minorTickMark val="none"/>
        <c:tickLblPos val="nextTo"/>
        <c:crossAx val="109892352"/>
        <c:crosses val="autoZero"/>
        <c:auto val="1"/>
        <c:lblAlgn val="ctr"/>
        <c:lblOffset val="100"/>
        <c:noMultiLvlLbl val="0"/>
      </c:catAx>
      <c:valAx>
        <c:axId val="109892352"/>
        <c:scaling>
          <c:orientation val="minMax"/>
        </c:scaling>
        <c:delete val="0"/>
        <c:axPos val="b"/>
        <c:numFmt formatCode="General" sourceLinked="1"/>
        <c:majorTickMark val="out"/>
        <c:minorTickMark val="none"/>
        <c:tickLblPos val="nextTo"/>
        <c:crossAx val="109890560"/>
        <c:crosses val="autoZero"/>
        <c:crossBetween val="between"/>
      </c:valAx>
    </c:plotArea>
    <c:legend>
      <c:legendPos val="r"/>
      <c:overlay val="0"/>
    </c:legend>
    <c:plotVisOnly val="1"/>
    <c:dispBlanksAs val="gap"/>
    <c:showDLblsOverMax val="0"/>
  </c:chart>
  <c:txPr>
    <a:bodyPr/>
    <a:lstStyle/>
    <a:p>
      <a:pPr>
        <a:defRPr b="1" i="0" baseline="0">
          <a:latin typeface="Times New Roman" pitchFamily="18" charset="0"/>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Lapas1!$B$1</c:f>
              <c:strCache>
                <c:ptCount val="1"/>
                <c:pt idx="0">
                  <c:v>Vyrai</c:v>
                </c:pt>
              </c:strCache>
            </c:strRef>
          </c:tx>
          <c:spPr>
            <a:solidFill>
              <a:srgbClr val="00B0F0"/>
            </a:solidFill>
          </c:spPr>
          <c:invertIfNegative val="0"/>
          <c:dLbls>
            <c:showLegendKey val="0"/>
            <c:showVal val="1"/>
            <c:showCatName val="0"/>
            <c:showSerName val="0"/>
            <c:showPercent val="0"/>
            <c:showBubbleSize val="0"/>
            <c:showLeaderLines val="0"/>
          </c:dLbls>
          <c:cat>
            <c:strRef>
              <c:f>Lapas1!$A$2:$A$4</c:f>
              <c:strCache>
                <c:ptCount val="3"/>
                <c:pt idx="0">
                  <c:v>Transporto įvykiai</c:v>
                </c:pt>
                <c:pt idx="1">
                  <c:v>Apsinuodijimai alkoholiu</c:v>
                </c:pt>
                <c:pt idx="2">
                  <c:v>Tyčiniai susižalojimai</c:v>
                </c:pt>
              </c:strCache>
            </c:strRef>
          </c:cat>
          <c:val>
            <c:numRef>
              <c:f>Lapas1!$B$2:$B$4</c:f>
              <c:numCache>
                <c:formatCode>General</c:formatCode>
                <c:ptCount val="3"/>
                <c:pt idx="0">
                  <c:v>38</c:v>
                </c:pt>
                <c:pt idx="1">
                  <c:v>10.8</c:v>
                </c:pt>
                <c:pt idx="2">
                  <c:v>70.5</c:v>
                </c:pt>
              </c:numCache>
            </c:numRef>
          </c:val>
        </c:ser>
        <c:ser>
          <c:idx val="1"/>
          <c:order val="1"/>
          <c:tx>
            <c:strRef>
              <c:f>Lapas1!$C$1</c:f>
              <c:strCache>
                <c:ptCount val="1"/>
                <c:pt idx="0">
                  <c:v>Moterys</c:v>
                </c:pt>
              </c:strCache>
            </c:strRef>
          </c:tx>
          <c:spPr>
            <a:solidFill>
              <a:srgbClr val="FF0000"/>
            </a:solidFill>
          </c:spPr>
          <c:invertIfNegative val="0"/>
          <c:dLbls>
            <c:showLegendKey val="0"/>
            <c:showVal val="1"/>
            <c:showCatName val="0"/>
            <c:showSerName val="0"/>
            <c:showPercent val="0"/>
            <c:showBubbleSize val="0"/>
            <c:showLeaderLines val="0"/>
          </c:dLbls>
          <c:cat>
            <c:strRef>
              <c:f>Lapas1!$A$2:$A$4</c:f>
              <c:strCache>
                <c:ptCount val="3"/>
                <c:pt idx="0">
                  <c:v>Transporto įvykiai</c:v>
                </c:pt>
                <c:pt idx="1">
                  <c:v>Apsinuodijimai alkoholiu</c:v>
                </c:pt>
                <c:pt idx="2">
                  <c:v>Tyčiniai susižalojimai</c:v>
                </c:pt>
              </c:strCache>
            </c:strRef>
          </c:cat>
          <c:val>
            <c:numRef>
              <c:f>Lapas1!$C$2:$C$4</c:f>
              <c:numCache>
                <c:formatCode>General</c:formatCode>
                <c:ptCount val="3"/>
                <c:pt idx="0">
                  <c:v>0</c:v>
                </c:pt>
                <c:pt idx="1">
                  <c:v>4.8</c:v>
                </c:pt>
                <c:pt idx="2">
                  <c:v>14.3</c:v>
                </c:pt>
              </c:numCache>
            </c:numRef>
          </c:val>
        </c:ser>
        <c:dLbls>
          <c:showLegendKey val="0"/>
          <c:showVal val="0"/>
          <c:showCatName val="0"/>
          <c:showSerName val="0"/>
          <c:showPercent val="0"/>
          <c:showBubbleSize val="0"/>
        </c:dLbls>
        <c:gapWidth val="150"/>
        <c:overlap val="-25"/>
        <c:axId val="113702784"/>
        <c:axId val="113704320"/>
      </c:barChart>
      <c:catAx>
        <c:axId val="113702784"/>
        <c:scaling>
          <c:orientation val="minMax"/>
        </c:scaling>
        <c:delete val="0"/>
        <c:axPos val="l"/>
        <c:majorGridlines/>
        <c:majorTickMark val="out"/>
        <c:minorTickMark val="none"/>
        <c:tickLblPos val="nextTo"/>
        <c:crossAx val="113704320"/>
        <c:crosses val="autoZero"/>
        <c:auto val="1"/>
        <c:lblAlgn val="ctr"/>
        <c:lblOffset val="100"/>
        <c:noMultiLvlLbl val="0"/>
      </c:catAx>
      <c:valAx>
        <c:axId val="113704320"/>
        <c:scaling>
          <c:orientation val="minMax"/>
        </c:scaling>
        <c:delete val="0"/>
        <c:axPos val="b"/>
        <c:numFmt formatCode="General" sourceLinked="1"/>
        <c:majorTickMark val="out"/>
        <c:minorTickMark val="none"/>
        <c:tickLblPos val="nextTo"/>
        <c:crossAx val="113702784"/>
        <c:crosses val="autoZero"/>
        <c:crossBetween val="between"/>
      </c:valAx>
    </c:plotArea>
    <c:legend>
      <c:legendPos val="r"/>
      <c:overlay val="0"/>
    </c:legend>
    <c:plotVisOnly val="1"/>
    <c:dispBlanksAs val="gap"/>
    <c:showDLblsOverMax val="0"/>
  </c:chart>
  <c:txPr>
    <a:bodyPr/>
    <a:lstStyle/>
    <a:p>
      <a:pPr>
        <a:defRPr b="1" i="0" baseline="0">
          <a:latin typeface="Times New Roman"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Vyrai</c:v>
                </c:pt>
              </c:strCache>
            </c:strRef>
          </c:tx>
          <c:spPr>
            <a:solidFill>
              <a:srgbClr val="00FF00"/>
            </a:solidFill>
          </c:spPr>
          <c:invertIfNegative val="0"/>
          <c:cat>
            <c:strRef>
              <c:f>Sheet1!$A$2:$A$5</c:f>
              <c:strCache>
                <c:ptCount val="4"/>
                <c:pt idx="0">
                  <c:v>2012 m.</c:v>
                </c:pt>
                <c:pt idx="1">
                  <c:v>2013 m.</c:v>
                </c:pt>
                <c:pt idx="2">
                  <c:v>2014 m.</c:v>
                </c:pt>
                <c:pt idx="3">
                  <c:v>2015 m.</c:v>
                </c:pt>
              </c:strCache>
            </c:strRef>
          </c:cat>
          <c:val>
            <c:numRef>
              <c:f>Sheet1!$B$2:$B$5</c:f>
              <c:numCache>
                <c:formatCode>General</c:formatCode>
                <c:ptCount val="4"/>
                <c:pt idx="0">
                  <c:v>19367</c:v>
                </c:pt>
                <c:pt idx="1">
                  <c:v>18990</c:v>
                </c:pt>
                <c:pt idx="2">
                  <c:v>18583</c:v>
                </c:pt>
                <c:pt idx="3">
                  <c:v>18284</c:v>
                </c:pt>
              </c:numCache>
            </c:numRef>
          </c:val>
        </c:ser>
        <c:ser>
          <c:idx val="1"/>
          <c:order val="1"/>
          <c:tx>
            <c:strRef>
              <c:f>Sheet1!$C$1</c:f>
              <c:strCache>
                <c:ptCount val="1"/>
                <c:pt idx="0">
                  <c:v>Moterys</c:v>
                </c:pt>
              </c:strCache>
            </c:strRef>
          </c:tx>
          <c:spPr>
            <a:solidFill>
              <a:srgbClr val="FF0000"/>
            </a:solidFill>
          </c:spPr>
          <c:invertIfNegative val="0"/>
          <c:cat>
            <c:strRef>
              <c:f>Sheet1!$A$2:$A$5</c:f>
              <c:strCache>
                <c:ptCount val="4"/>
                <c:pt idx="0">
                  <c:v>2012 m.</c:v>
                </c:pt>
                <c:pt idx="1">
                  <c:v>2013 m.</c:v>
                </c:pt>
                <c:pt idx="2">
                  <c:v>2014 m.</c:v>
                </c:pt>
                <c:pt idx="3">
                  <c:v>2015 m.</c:v>
                </c:pt>
              </c:strCache>
            </c:strRef>
          </c:cat>
          <c:val>
            <c:numRef>
              <c:f>Sheet1!$C$2:$C$5</c:f>
              <c:numCache>
                <c:formatCode>General</c:formatCode>
                <c:ptCount val="4"/>
                <c:pt idx="0">
                  <c:v>22122</c:v>
                </c:pt>
                <c:pt idx="1">
                  <c:v>21577</c:v>
                </c:pt>
                <c:pt idx="2">
                  <c:v>21106</c:v>
                </c:pt>
                <c:pt idx="3">
                  <c:v>20759</c:v>
                </c:pt>
              </c:numCache>
            </c:numRef>
          </c:val>
        </c:ser>
        <c:dLbls>
          <c:showLegendKey val="0"/>
          <c:showVal val="1"/>
          <c:showCatName val="0"/>
          <c:showSerName val="0"/>
          <c:showPercent val="0"/>
          <c:showBubbleSize val="0"/>
        </c:dLbls>
        <c:gapWidth val="150"/>
        <c:axId val="43168512"/>
        <c:axId val="43170048"/>
      </c:barChart>
      <c:catAx>
        <c:axId val="43168512"/>
        <c:scaling>
          <c:orientation val="minMax"/>
        </c:scaling>
        <c:delete val="0"/>
        <c:axPos val="b"/>
        <c:majorTickMark val="out"/>
        <c:minorTickMark val="none"/>
        <c:tickLblPos val="nextTo"/>
        <c:crossAx val="43170048"/>
        <c:crosses val="autoZero"/>
        <c:auto val="1"/>
        <c:lblAlgn val="ctr"/>
        <c:lblOffset val="100"/>
        <c:noMultiLvlLbl val="0"/>
      </c:catAx>
      <c:valAx>
        <c:axId val="43170048"/>
        <c:scaling>
          <c:orientation val="minMax"/>
        </c:scaling>
        <c:delete val="0"/>
        <c:axPos val="l"/>
        <c:majorGridlines/>
        <c:numFmt formatCode="General" sourceLinked="1"/>
        <c:majorTickMark val="out"/>
        <c:minorTickMark val="none"/>
        <c:tickLblPos val="nextTo"/>
        <c:crossAx val="43168512"/>
        <c:crosses val="autoZero"/>
        <c:crossBetween val="between"/>
      </c:valAx>
    </c:plotArea>
    <c:legend>
      <c:legendPos val="r"/>
      <c:overlay val="0"/>
    </c:legend>
    <c:plotVisOnly val="1"/>
    <c:dispBlanksAs val="gap"/>
    <c:showDLblsOverMax val="0"/>
  </c:chart>
  <c:txPr>
    <a:bodyPr/>
    <a:lstStyle/>
    <a:p>
      <a:pPr>
        <a:defRPr b="1">
          <a:latin typeface="Times New Roman" pitchFamily="18" charset="0"/>
          <a:cs typeface="Times New Roman"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Lietuvos Respublika</c:v>
                </c:pt>
              </c:strCache>
            </c:strRef>
          </c:tx>
          <c:spPr>
            <a:solidFill>
              <a:srgbClr val="66FF33"/>
            </a:solidFill>
          </c:spPr>
          <c:invertIfNegative val="0"/>
          <c:cat>
            <c:strRef>
              <c:f>Sheet1!$A$2:$A$5</c:f>
              <c:strCache>
                <c:ptCount val="4"/>
                <c:pt idx="0">
                  <c:v>2012 m.</c:v>
                </c:pt>
                <c:pt idx="1">
                  <c:v>2013 m.</c:v>
                </c:pt>
                <c:pt idx="2">
                  <c:v>2014 m.</c:v>
                </c:pt>
                <c:pt idx="3">
                  <c:v>2015 m.</c:v>
                </c:pt>
              </c:strCache>
            </c:strRef>
          </c:cat>
          <c:val>
            <c:numRef>
              <c:f>Sheet1!$B$2:$B$5</c:f>
              <c:numCache>
                <c:formatCode>General</c:formatCode>
                <c:ptCount val="4"/>
                <c:pt idx="0">
                  <c:v>122</c:v>
                </c:pt>
                <c:pt idx="1">
                  <c:v>124</c:v>
                </c:pt>
                <c:pt idx="2">
                  <c:v>126</c:v>
                </c:pt>
                <c:pt idx="3">
                  <c:v>129</c:v>
                </c:pt>
              </c:numCache>
            </c:numRef>
          </c:val>
        </c:ser>
        <c:ser>
          <c:idx val="1"/>
          <c:order val="1"/>
          <c:tx>
            <c:strRef>
              <c:f>Sheet1!$C$1</c:f>
              <c:strCache>
                <c:ptCount val="1"/>
                <c:pt idx="0">
                  <c:v>Radviliškio rajonas</c:v>
                </c:pt>
              </c:strCache>
            </c:strRef>
          </c:tx>
          <c:spPr>
            <a:solidFill>
              <a:srgbClr val="FF0000"/>
            </a:solidFill>
          </c:spPr>
          <c:invertIfNegative val="0"/>
          <c:cat>
            <c:strRef>
              <c:f>Sheet1!$A$2:$A$5</c:f>
              <c:strCache>
                <c:ptCount val="4"/>
                <c:pt idx="0">
                  <c:v>2012 m.</c:v>
                </c:pt>
                <c:pt idx="1">
                  <c:v>2013 m.</c:v>
                </c:pt>
                <c:pt idx="2">
                  <c:v>2014 m.</c:v>
                </c:pt>
                <c:pt idx="3">
                  <c:v>2015 m.</c:v>
                </c:pt>
              </c:strCache>
            </c:strRef>
          </c:cat>
          <c:val>
            <c:numRef>
              <c:f>Sheet1!$C$2:$C$5</c:f>
              <c:numCache>
                <c:formatCode>General</c:formatCode>
                <c:ptCount val="4"/>
                <c:pt idx="0">
                  <c:v>129</c:v>
                </c:pt>
                <c:pt idx="1">
                  <c:v>132</c:v>
                </c:pt>
                <c:pt idx="2">
                  <c:v>134</c:v>
                </c:pt>
                <c:pt idx="3">
                  <c:v>137</c:v>
                </c:pt>
              </c:numCache>
            </c:numRef>
          </c:val>
        </c:ser>
        <c:dLbls>
          <c:showLegendKey val="0"/>
          <c:showVal val="1"/>
          <c:showCatName val="0"/>
          <c:showSerName val="0"/>
          <c:showPercent val="0"/>
          <c:showBubbleSize val="0"/>
        </c:dLbls>
        <c:gapWidth val="150"/>
        <c:axId val="109084672"/>
        <c:axId val="109086208"/>
      </c:barChart>
      <c:catAx>
        <c:axId val="109084672"/>
        <c:scaling>
          <c:orientation val="minMax"/>
        </c:scaling>
        <c:delete val="0"/>
        <c:axPos val="b"/>
        <c:majorTickMark val="out"/>
        <c:minorTickMark val="none"/>
        <c:tickLblPos val="nextTo"/>
        <c:crossAx val="109086208"/>
        <c:crosses val="autoZero"/>
        <c:auto val="1"/>
        <c:lblAlgn val="ctr"/>
        <c:lblOffset val="100"/>
        <c:noMultiLvlLbl val="0"/>
      </c:catAx>
      <c:valAx>
        <c:axId val="109086208"/>
        <c:scaling>
          <c:orientation val="minMax"/>
        </c:scaling>
        <c:delete val="0"/>
        <c:axPos val="l"/>
        <c:majorGridlines/>
        <c:numFmt formatCode="General" sourceLinked="1"/>
        <c:majorTickMark val="out"/>
        <c:minorTickMark val="none"/>
        <c:tickLblPos val="nextTo"/>
        <c:crossAx val="109084672"/>
        <c:crosses val="autoZero"/>
        <c:crossBetween val="between"/>
      </c:valAx>
    </c:plotArea>
    <c:legend>
      <c:legendPos val="r"/>
      <c:overlay val="0"/>
    </c:legend>
    <c:plotVisOnly val="1"/>
    <c:dispBlanksAs val="gap"/>
    <c:showDLblsOverMax val="0"/>
  </c:chart>
  <c:txPr>
    <a:bodyPr/>
    <a:lstStyle/>
    <a:p>
      <a:pPr>
        <a:defRPr b="1">
          <a:latin typeface="Times New Roman" pitchFamily="18" charset="0"/>
          <a:cs typeface="Times New Roman" pitchFamily="18"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9226450860309225E-2"/>
          <c:y val="5.5962379702537181E-2"/>
          <c:w val="0.69486038203557965"/>
          <c:h val="0.91188476440444943"/>
        </c:manualLayout>
      </c:layout>
      <c:barChart>
        <c:barDir val="col"/>
        <c:grouping val="clustered"/>
        <c:varyColors val="0"/>
        <c:ser>
          <c:idx val="0"/>
          <c:order val="0"/>
          <c:tx>
            <c:strRef>
              <c:f>Lapas1!$B$1</c:f>
              <c:strCache>
                <c:ptCount val="1"/>
                <c:pt idx="0">
                  <c:v>Išvyko</c:v>
                </c:pt>
              </c:strCache>
            </c:strRef>
          </c:tx>
          <c:spPr>
            <a:solidFill>
              <a:srgbClr val="FF0000"/>
            </a:solidFill>
          </c:spPr>
          <c:invertIfNegative val="0"/>
          <c:dLbls>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Lapas1!$B$2:$B$4</c:f>
              <c:numCache>
                <c:formatCode>General</c:formatCode>
                <c:ptCount val="3"/>
                <c:pt idx="0">
                  <c:v>633</c:v>
                </c:pt>
                <c:pt idx="1">
                  <c:v>647</c:v>
                </c:pt>
                <c:pt idx="2">
                  <c:v>555</c:v>
                </c:pt>
              </c:numCache>
            </c:numRef>
          </c:val>
        </c:ser>
        <c:ser>
          <c:idx val="1"/>
          <c:order val="1"/>
          <c:tx>
            <c:strRef>
              <c:f>Lapas1!$C$1</c:f>
              <c:strCache>
                <c:ptCount val="1"/>
                <c:pt idx="0">
                  <c:v>Atvyko</c:v>
                </c:pt>
              </c:strCache>
            </c:strRef>
          </c:tx>
          <c:spPr>
            <a:solidFill>
              <a:srgbClr val="00B0F0"/>
            </a:solidFill>
          </c:spPr>
          <c:invertIfNegative val="0"/>
          <c:dLbls>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Lapas1!$C$2:$C$4</c:f>
              <c:numCache>
                <c:formatCode>General</c:formatCode>
                <c:ptCount val="3"/>
                <c:pt idx="0">
                  <c:v>309</c:v>
                </c:pt>
                <c:pt idx="1">
                  <c:v>360</c:v>
                </c:pt>
                <c:pt idx="2">
                  <c:v>349</c:v>
                </c:pt>
              </c:numCache>
            </c:numRef>
          </c:val>
        </c:ser>
        <c:ser>
          <c:idx val="2"/>
          <c:order val="2"/>
          <c:tx>
            <c:strRef>
              <c:f>Lapas1!$D$1</c:f>
              <c:strCache>
                <c:ptCount val="1"/>
                <c:pt idx="0">
                  <c:v>Neto migracija</c:v>
                </c:pt>
              </c:strCache>
            </c:strRef>
          </c:tx>
          <c:spPr>
            <a:solidFill>
              <a:srgbClr val="66FF33"/>
            </a:solidFill>
          </c:spPr>
          <c:invertIfNegative val="0"/>
          <c:dLbls>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Lapas1!$D$2:$D$4</c:f>
              <c:numCache>
                <c:formatCode>General</c:formatCode>
                <c:ptCount val="3"/>
                <c:pt idx="0">
                  <c:v>-324</c:v>
                </c:pt>
                <c:pt idx="1">
                  <c:v>-287</c:v>
                </c:pt>
                <c:pt idx="2">
                  <c:v>-206</c:v>
                </c:pt>
              </c:numCache>
            </c:numRef>
          </c:val>
        </c:ser>
        <c:dLbls>
          <c:showLegendKey val="0"/>
          <c:showVal val="0"/>
          <c:showCatName val="0"/>
          <c:showSerName val="0"/>
          <c:showPercent val="0"/>
          <c:showBubbleSize val="0"/>
        </c:dLbls>
        <c:gapWidth val="150"/>
        <c:overlap val="-25"/>
        <c:axId val="109096960"/>
        <c:axId val="109098496"/>
      </c:barChart>
      <c:catAx>
        <c:axId val="109096960"/>
        <c:scaling>
          <c:orientation val="minMax"/>
        </c:scaling>
        <c:delete val="0"/>
        <c:axPos val="b"/>
        <c:majorGridlines/>
        <c:majorTickMark val="out"/>
        <c:minorTickMark val="none"/>
        <c:tickLblPos val="nextTo"/>
        <c:crossAx val="109098496"/>
        <c:crosses val="autoZero"/>
        <c:auto val="1"/>
        <c:lblAlgn val="ctr"/>
        <c:lblOffset val="100"/>
        <c:noMultiLvlLbl val="0"/>
      </c:catAx>
      <c:valAx>
        <c:axId val="109098496"/>
        <c:scaling>
          <c:orientation val="minMax"/>
        </c:scaling>
        <c:delete val="0"/>
        <c:axPos val="l"/>
        <c:numFmt formatCode="General" sourceLinked="1"/>
        <c:majorTickMark val="out"/>
        <c:minorTickMark val="none"/>
        <c:tickLblPos val="nextTo"/>
        <c:crossAx val="109096960"/>
        <c:crosses val="autoZero"/>
        <c:crossBetween val="between"/>
      </c:valAx>
    </c:plotArea>
    <c:legend>
      <c:legendPos val="r"/>
      <c:overlay val="0"/>
    </c:legend>
    <c:plotVisOnly val="1"/>
    <c:dispBlanksAs val="gap"/>
    <c:showDLblsOverMax val="0"/>
  </c:chart>
  <c:txPr>
    <a:bodyPr/>
    <a:lstStyle/>
    <a:p>
      <a:pPr>
        <a:defRPr b="1" i="0" baseline="0">
          <a:latin typeface="Times New Roman"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0407006415864684E-2"/>
          <c:y val="4.4057617797775513E-2"/>
          <c:w val="0.67198454771007265"/>
          <c:h val="0.77861767279090865"/>
        </c:manualLayout>
      </c:layout>
      <c:lineChart>
        <c:grouping val="standard"/>
        <c:varyColors val="0"/>
        <c:ser>
          <c:idx val="0"/>
          <c:order val="0"/>
          <c:tx>
            <c:strRef>
              <c:f>Lapas1!$B$1</c:f>
              <c:strCache>
                <c:ptCount val="1"/>
                <c:pt idx="0">
                  <c:v>Lietuvos Respublika</c:v>
                </c:pt>
              </c:strCache>
            </c:strRef>
          </c:tx>
          <c:spPr>
            <a:ln>
              <a:solidFill>
                <a:srgbClr val="66FF33"/>
              </a:solidFill>
            </a:ln>
          </c:spPr>
          <c:marker>
            <c:symbol val="none"/>
          </c:marker>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Pos val="t"/>
            <c:showLegendKey val="0"/>
            <c:showVal val="1"/>
            <c:showCatName val="0"/>
            <c:showSerName val="0"/>
            <c:showPercent val="0"/>
            <c:showBubbleSize val="0"/>
            <c:showLeaderLines val="0"/>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Lapas1!$B$2:$B$11</c:f>
              <c:numCache>
                <c:formatCode>General</c:formatCode>
                <c:ptCount val="10"/>
                <c:pt idx="0">
                  <c:v>8.9</c:v>
                </c:pt>
                <c:pt idx="1">
                  <c:v>9.1</c:v>
                </c:pt>
                <c:pt idx="2">
                  <c:v>9.3000000000000007</c:v>
                </c:pt>
                <c:pt idx="3">
                  <c:v>9.9</c:v>
                </c:pt>
                <c:pt idx="4">
                  <c:v>10.199999999999999</c:v>
                </c:pt>
                <c:pt idx="5">
                  <c:v>9.9</c:v>
                </c:pt>
                <c:pt idx="6">
                  <c:v>10</c:v>
                </c:pt>
                <c:pt idx="7">
                  <c:v>10.199999999999999</c:v>
                </c:pt>
                <c:pt idx="8">
                  <c:v>10.1</c:v>
                </c:pt>
                <c:pt idx="9">
                  <c:v>10.3</c:v>
                </c:pt>
              </c:numCache>
            </c:numRef>
          </c:val>
          <c:smooth val="0"/>
        </c:ser>
        <c:ser>
          <c:idx val="1"/>
          <c:order val="1"/>
          <c:tx>
            <c:strRef>
              <c:f>Lapas1!$C$1</c:f>
              <c:strCache>
                <c:ptCount val="1"/>
                <c:pt idx="0">
                  <c:v>Radviliškio rajonas</c:v>
                </c:pt>
              </c:strCache>
            </c:strRef>
          </c:tx>
          <c:spPr>
            <a:ln>
              <a:solidFill>
                <a:srgbClr val="FF0000"/>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layout>
                <c:manualLayout>
                  <c:x val="-1.8666666666666668E-2"/>
                  <c:y val="7.269503546099290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Lapas1!$C$2:$C$11</c:f>
              <c:numCache>
                <c:formatCode>General</c:formatCode>
                <c:ptCount val="10"/>
                <c:pt idx="0">
                  <c:v>8.9</c:v>
                </c:pt>
                <c:pt idx="1">
                  <c:v>10</c:v>
                </c:pt>
                <c:pt idx="2">
                  <c:v>9.5</c:v>
                </c:pt>
                <c:pt idx="3">
                  <c:v>8.8000000000000007</c:v>
                </c:pt>
                <c:pt idx="4">
                  <c:v>8.4</c:v>
                </c:pt>
                <c:pt idx="5">
                  <c:v>9.1999999999999993</c:v>
                </c:pt>
                <c:pt idx="6">
                  <c:v>9.1999999999999993</c:v>
                </c:pt>
                <c:pt idx="7">
                  <c:v>8.6</c:v>
                </c:pt>
                <c:pt idx="8">
                  <c:v>10</c:v>
                </c:pt>
                <c:pt idx="9">
                  <c:v>9.1999999999999993</c:v>
                </c:pt>
              </c:numCache>
            </c:numRef>
          </c:val>
          <c:smooth val="0"/>
        </c:ser>
        <c:dLbls>
          <c:dLblPos val="t"/>
          <c:showLegendKey val="0"/>
          <c:showVal val="1"/>
          <c:showCatName val="0"/>
          <c:showSerName val="0"/>
          <c:showPercent val="0"/>
          <c:showBubbleSize val="0"/>
        </c:dLbls>
        <c:marker val="1"/>
        <c:smooth val="0"/>
        <c:axId val="109152896"/>
        <c:axId val="109154688"/>
      </c:lineChart>
      <c:catAx>
        <c:axId val="109152896"/>
        <c:scaling>
          <c:orientation val="minMax"/>
        </c:scaling>
        <c:delete val="0"/>
        <c:axPos val="b"/>
        <c:numFmt formatCode="General" sourceLinked="1"/>
        <c:majorTickMark val="out"/>
        <c:minorTickMark val="none"/>
        <c:tickLblPos val="nextTo"/>
        <c:crossAx val="109154688"/>
        <c:crosses val="autoZero"/>
        <c:auto val="1"/>
        <c:lblAlgn val="ctr"/>
        <c:lblOffset val="100"/>
        <c:noMultiLvlLbl val="0"/>
      </c:catAx>
      <c:valAx>
        <c:axId val="109154688"/>
        <c:scaling>
          <c:orientation val="minMax"/>
        </c:scaling>
        <c:delete val="0"/>
        <c:axPos val="l"/>
        <c:majorGridlines/>
        <c:numFmt formatCode="General" sourceLinked="1"/>
        <c:majorTickMark val="out"/>
        <c:minorTickMark val="none"/>
        <c:tickLblPos val="nextTo"/>
        <c:crossAx val="109152896"/>
        <c:crosses val="autoZero"/>
        <c:crossBetween val="between"/>
      </c:valAx>
    </c:plotArea>
    <c:legend>
      <c:legendPos val="r"/>
      <c:layout>
        <c:manualLayout>
          <c:xMode val="edge"/>
          <c:yMode val="edge"/>
          <c:x val="0.73043634471063335"/>
          <c:y val="0.34591275228527796"/>
          <c:w val="0.25354250697755731"/>
          <c:h val="0.26100914109874196"/>
        </c:manualLayout>
      </c:layout>
      <c:overlay val="0"/>
      <c:txPr>
        <a:bodyPr/>
        <a:lstStyle/>
        <a:p>
          <a:pPr>
            <a:defRPr sz="1000"/>
          </a:pPr>
          <a:endParaRPr lang="lt-LT"/>
        </a:p>
      </c:txPr>
    </c:legend>
    <c:plotVisOnly val="1"/>
    <c:dispBlanksAs val="gap"/>
    <c:showDLblsOverMax val="0"/>
  </c:chart>
  <c:txPr>
    <a:bodyPr/>
    <a:lstStyle/>
    <a:p>
      <a:pPr>
        <a:defRPr b="1" i="0" baseline="0">
          <a:latin typeface="Times New Roman"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6.937500000000002E-2"/>
          <c:y val="5.6194125159642422E-2"/>
          <c:w val="0.71946759259259263"/>
          <c:h val="0.72429118773946355"/>
        </c:manualLayout>
      </c:layout>
      <c:lineChart>
        <c:grouping val="standard"/>
        <c:varyColors val="0"/>
        <c:ser>
          <c:idx val="0"/>
          <c:order val="0"/>
          <c:tx>
            <c:strRef>
              <c:f>Lapas1!$B$1</c:f>
              <c:strCache>
                <c:ptCount val="1"/>
                <c:pt idx="0">
                  <c:v>Gimstamumas</c:v>
                </c:pt>
              </c:strCache>
            </c:strRef>
          </c:tx>
          <c:spPr>
            <a:ln>
              <a:solidFill>
                <a:srgbClr val="66FF33"/>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Pos val="t"/>
            <c:showLegendKey val="0"/>
            <c:showVal val="1"/>
            <c:showCatName val="0"/>
            <c:showSerName val="0"/>
            <c:showPercent val="0"/>
            <c:showBubbleSize val="0"/>
            <c:showLeaderLines val="0"/>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Lapas1!$B$2:$B$11</c:f>
              <c:numCache>
                <c:formatCode>General</c:formatCode>
                <c:ptCount val="10"/>
                <c:pt idx="0">
                  <c:v>9</c:v>
                </c:pt>
                <c:pt idx="1">
                  <c:v>10.1</c:v>
                </c:pt>
                <c:pt idx="2">
                  <c:v>9.8000000000000007</c:v>
                </c:pt>
                <c:pt idx="3">
                  <c:v>9.6</c:v>
                </c:pt>
                <c:pt idx="4">
                  <c:v>9.4</c:v>
                </c:pt>
                <c:pt idx="5">
                  <c:v>10</c:v>
                </c:pt>
                <c:pt idx="6">
                  <c:v>10.3</c:v>
                </c:pt>
                <c:pt idx="7">
                  <c:v>8.6</c:v>
                </c:pt>
                <c:pt idx="8">
                  <c:v>10</c:v>
                </c:pt>
                <c:pt idx="9">
                  <c:v>9.1999999999999993</c:v>
                </c:pt>
              </c:numCache>
            </c:numRef>
          </c:val>
          <c:smooth val="0"/>
        </c:ser>
        <c:ser>
          <c:idx val="1"/>
          <c:order val="1"/>
          <c:tx>
            <c:strRef>
              <c:f>Lapas1!$C$1</c:f>
              <c:strCache>
                <c:ptCount val="1"/>
                <c:pt idx="0">
                  <c:v>Mirtingumas</c:v>
                </c:pt>
              </c:strCache>
            </c:strRef>
          </c:tx>
          <c:spPr>
            <a:ln>
              <a:solidFill>
                <a:srgbClr val="FF0000"/>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Pos val="t"/>
            <c:showLegendKey val="0"/>
            <c:showVal val="1"/>
            <c:showCatName val="0"/>
            <c:showSerName val="0"/>
            <c:showPercent val="0"/>
            <c:showBubbleSize val="0"/>
            <c:showLeaderLines val="0"/>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Lapas1!$C$2:$C$11</c:f>
              <c:numCache>
                <c:formatCode>General</c:formatCode>
                <c:ptCount val="10"/>
                <c:pt idx="0">
                  <c:v>14.2</c:v>
                </c:pt>
                <c:pt idx="1">
                  <c:v>15.8</c:v>
                </c:pt>
                <c:pt idx="2">
                  <c:v>14.9</c:v>
                </c:pt>
                <c:pt idx="3">
                  <c:v>14.8</c:v>
                </c:pt>
                <c:pt idx="4">
                  <c:v>14.5</c:v>
                </c:pt>
                <c:pt idx="5">
                  <c:v>15.9</c:v>
                </c:pt>
                <c:pt idx="6">
                  <c:v>16</c:v>
                </c:pt>
                <c:pt idx="7">
                  <c:v>17.2</c:v>
                </c:pt>
                <c:pt idx="8">
                  <c:v>17.5</c:v>
                </c:pt>
                <c:pt idx="9">
                  <c:v>15.9</c:v>
                </c:pt>
              </c:numCache>
            </c:numRef>
          </c:val>
          <c:smooth val="0"/>
        </c:ser>
        <c:dLbls>
          <c:dLblPos val="t"/>
          <c:showLegendKey val="0"/>
          <c:showVal val="1"/>
          <c:showCatName val="0"/>
          <c:showSerName val="0"/>
          <c:showPercent val="0"/>
          <c:showBubbleSize val="0"/>
        </c:dLbls>
        <c:marker val="1"/>
        <c:smooth val="0"/>
        <c:axId val="109172224"/>
        <c:axId val="109173760"/>
      </c:lineChart>
      <c:catAx>
        <c:axId val="109172224"/>
        <c:scaling>
          <c:orientation val="minMax"/>
        </c:scaling>
        <c:delete val="0"/>
        <c:axPos val="b"/>
        <c:numFmt formatCode="General" sourceLinked="1"/>
        <c:majorTickMark val="out"/>
        <c:minorTickMark val="none"/>
        <c:tickLblPos val="nextTo"/>
        <c:crossAx val="109173760"/>
        <c:crosses val="autoZero"/>
        <c:auto val="1"/>
        <c:lblAlgn val="ctr"/>
        <c:lblOffset val="100"/>
        <c:noMultiLvlLbl val="0"/>
      </c:catAx>
      <c:valAx>
        <c:axId val="109173760"/>
        <c:scaling>
          <c:orientation val="minMax"/>
        </c:scaling>
        <c:delete val="0"/>
        <c:axPos val="l"/>
        <c:majorGridlines/>
        <c:numFmt formatCode="General" sourceLinked="1"/>
        <c:majorTickMark val="out"/>
        <c:minorTickMark val="none"/>
        <c:tickLblPos val="nextTo"/>
        <c:crossAx val="109172224"/>
        <c:crosses val="autoZero"/>
        <c:crossBetween val="between"/>
      </c:valAx>
    </c:plotArea>
    <c:legend>
      <c:legendPos val="r"/>
      <c:overlay val="0"/>
    </c:legend>
    <c:plotVisOnly val="1"/>
    <c:dispBlanksAs val="gap"/>
    <c:showDLblsOverMax val="0"/>
  </c:chart>
  <c:txPr>
    <a:bodyPr/>
    <a:lstStyle/>
    <a:p>
      <a:pPr>
        <a:defRPr b="1" i="0" baseline="0">
          <a:latin typeface="Times New Roman" pitchFamily="18" charset="0"/>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Lapas1!$B$1</c:f>
              <c:strCache>
                <c:ptCount val="1"/>
                <c:pt idx="0">
                  <c:v>Gimstamumas</c:v>
                </c:pt>
              </c:strCache>
            </c:strRef>
          </c:tx>
          <c:spPr>
            <a:solidFill>
              <a:srgbClr val="00B0F0"/>
            </a:solidFill>
          </c:spPr>
          <c:invertIfNegative val="0"/>
          <c:dLbls>
            <c:showLegendKey val="0"/>
            <c:showVal val="1"/>
            <c:showCatName val="0"/>
            <c:showSerName val="0"/>
            <c:showPercent val="0"/>
            <c:showBubbleSize val="0"/>
            <c:showLeaderLines val="0"/>
          </c:dLbls>
          <c:cat>
            <c:strRef>
              <c:f>Lapas1!$A$2:$A$3</c:f>
              <c:strCache>
                <c:ptCount val="2"/>
                <c:pt idx="0">
                  <c:v>Lietuvos Respublika</c:v>
                </c:pt>
                <c:pt idx="1">
                  <c:v>Radviliškio rajonas</c:v>
                </c:pt>
              </c:strCache>
            </c:strRef>
          </c:cat>
          <c:val>
            <c:numRef>
              <c:f>Lapas1!$B$2:$B$3</c:f>
              <c:numCache>
                <c:formatCode>General</c:formatCode>
                <c:ptCount val="2"/>
                <c:pt idx="0">
                  <c:v>10.3</c:v>
                </c:pt>
                <c:pt idx="1">
                  <c:v>9.1999999999999993</c:v>
                </c:pt>
              </c:numCache>
            </c:numRef>
          </c:val>
        </c:ser>
        <c:ser>
          <c:idx val="1"/>
          <c:order val="1"/>
          <c:tx>
            <c:strRef>
              <c:f>Lapas1!$C$1</c:f>
              <c:strCache>
                <c:ptCount val="1"/>
                <c:pt idx="0">
                  <c:v>Mirtingumas</c:v>
                </c:pt>
              </c:strCache>
            </c:strRef>
          </c:tx>
          <c:spPr>
            <a:solidFill>
              <a:srgbClr val="FF0000"/>
            </a:solidFill>
          </c:spPr>
          <c:invertIfNegative val="0"/>
          <c:dLbls>
            <c:showLegendKey val="0"/>
            <c:showVal val="1"/>
            <c:showCatName val="0"/>
            <c:showSerName val="0"/>
            <c:showPercent val="0"/>
            <c:showBubbleSize val="0"/>
            <c:showLeaderLines val="0"/>
          </c:dLbls>
          <c:cat>
            <c:strRef>
              <c:f>Lapas1!$A$2:$A$3</c:f>
              <c:strCache>
                <c:ptCount val="2"/>
                <c:pt idx="0">
                  <c:v>Lietuvos Respublika</c:v>
                </c:pt>
                <c:pt idx="1">
                  <c:v>Radviliškio rajonas</c:v>
                </c:pt>
              </c:strCache>
            </c:strRef>
          </c:cat>
          <c:val>
            <c:numRef>
              <c:f>Lapas1!$C$2:$C$3</c:f>
              <c:numCache>
                <c:formatCode>General</c:formatCode>
                <c:ptCount val="2"/>
                <c:pt idx="0">
                  <c:v>13.7</c:v>
                </c:pt>
                <c:pt idx="1">
                  <c:v>15.9</c:v>
                </c:pt>
              </c:numCache>
            </c:numRef>
          </c:val>
        </c:ser>
        <c:ser>
          <c:idx val="2"/>
          <c:order val="2"/>
          <c:tx>
            <c:strRef>
              <c:f>Lapas1!$D$1</c:f>
              <c:strCache>
                <c:ptCount val="1"/>
                <c:pt idx="0">
                  <c:v>Natūralus gyventojų prieaugis</c:v>
                </c:pt>
              </c:strCache>
            </c:strRef>
          </c:tx>
          <c:spPr>
            <a:solidFill>
              <a:srgbClr val="66FF33"/>
            </a:solidFill>
          </c:spPr>
          <c:invertIfNegative val="0"/>
          <c:dLbls>
            <c:dLbl>
              <c:idx val="0"/>
              <c:layout>
                <c:manualLayout>
                  <c:x val="-4.6296296296297014E-3"/>
                  <c:y val="9.3357870496075853E-3"/>
                </c:manualLayout>
              </c:layout>
              <c:showLegendKey val="0"/>
              <c:showVal val="1"/>
              <c:showCatName val="0"/>
              <c:showSerName val="0"/>
              <c:showPercent val="0"/>
              <c:showBubbleSize val="0"/>
            </c:dLbl>
            <c:dLbl>
              <c:idx val="1"/>
              <c:layout>
                <c:manualLayout>
                  <c:x val="2.3148148148148147E-3"/>
                  <c:y val="3.07334224731348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Lapas1!$A$2:$A$3</c:f>
              <c:strCache>
                <c:ptCount val="2"/>
                <c:pt idx="0">
                  <c:v>Lietuvos Respublika</c:v>
                </c:pt>
                <c:pt idx="1">
                  <c:v>Radviliškio rajonas</c:v>
                </c:pt>
              </c:strCache>
            </c:strRef>
          </c:cat>
          <c:val>
            <c:numRef>
              <c:f>Lapas1!$D$2:$D$3</c:f>
              <c:numCache>
                <c:formatCode>General</c:formatCode>
                <c:ptCount val="2"/>
                <c:pt idx="0">
                  <c:v>-3.4</c:v>
                </c:pt>
                <c:pt idx="1">
                  <c:v>-6.7</c:v>
                </c:pt>
              </c:numCache>
            </c:numRef>
          </c:val>
        </c:ser>
        <c:dLbls>
          <c:showLegendKey val="0"/>
          <c:showVal val="0"/>
          <c:showCatName val="0"/>
          <c:showSerName val="0"/>
          <c:showPercent val="0"/>
          <c:showBubbleSize val="0"/>
        </c:dLbls>
        <c:gapWidth val="150"/>
        <c:overlap val="-25"/>
        <c:axId val="109213184"/>
        <c:axId val="109214720"/>
      </c:barChart>
      <c:catAx>
        <c:axId val="109213184"/>
        <c:scaling>
          <c:orientation val="minMax"/>
        </c:scaling>
        <c:delete val="0"/>
        <c:axPos val="b"/>
        <c:majorGridlines/>
        <c:majorTickMark val="out"/>
        <c:minorTickMark val="none"/>
        <c:tickLblPos val="nextTo"/>
        <c:crossAx val="109214720"/>
        <c:crosses val="autoZero"/>
        <c:auto val="1"/>
        <c:lblAlgn val="ctr"/>
        <c:lblOffset val="100"/>
        <c:noMultiLvlLbl val="0"/>
      </c:catAx>
      <c:valAx>
        <c:axId val="109214720"/>
        <c:scaling>
          <c:orientation val="minMax"/>
        </c:scaling>
        <c:delete val="0"/>
        <c:axPos val="l"/>
        <c:numFmt formatCode="General" sourceLinked="1"/>
        <c:majorTickMark val="out"/>
        <c:minorTickMark val="none"/>
        <c:tickLblPos val="nextTo"/>
        <c:crossAx val="109213184"/>
        <c:crosses val="autoZero"/>
        <c:crossBetween val="between"/>
      </c:valAx>
    </c:plotArea>
    <c:legend>
      <c:legendPos val="r"/>
      <c:overlay val="0"/>
      <c:txPr>
        <a:bodyPr/>
        <a:lstStyle/>
        <a:p>
          <a:pPr>
            <a:defRPr sz="1000"/>
          </a:pPr>
          <a:endParaRPr lang="lt-LT"/>
        </a:p>
      </c:txPr>
    </c:legend>
    <c:plotVisOnly val="1"/>
    <c:dispBlanksAs val="gap"/>
    <c:showDLblsOverMax val="0"/>
  </c:chart>
  <c:txPr>
    <a:bodyPr/>
    <a:lstStyle/>
    <a:p>
      <a:pPr>
        <a:defRPr b="1" i="0" baseline="0">
          <a:latin typeface="Times New Roman"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Lapas1!$B$1</c:f>
              <c:strCache>
                <c:ptCount val="1"/>
                <c:pt idx="0">
                  <c:v>Vyrai</c:v>
                </c:pt>
              </c:strCache>
            </c:strRef>
          </c:tx>
          <c:spPr>
            <a:solidFill>
              <a:srgbClr val="00B0F0"/>
            </a:solidFill>
          </c:spPr>
          <c:invertIfNegative val="0"/>
          <c:dLbls>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Lapas1!$B$2:$B$4</c:f>
              <c:numCache>
                <c:formatCode>General</c:formatCode>
                <c:ptCount val="3"/>
                <c:pt idx="0">
                  <c:v>340</c:v>
                </c:pt>
                <c:pt idx="1">
                  <c:v>374</c:v>
                </c:pt>
                <c:pt idx="2">
                  <c:v>321</c:v>
                </c:pt>
              </c:numCache>
            </c:numRef>
          </c:val>
        </c:ser>
        <c:ser>
          <c:idx val="1"/>
          <c:order val="1"/>
          <c:tx>
            <c:strRef>
              <c:f>Lapas1!$C$1</c:f>
              <c:strCache>
                <c:ptCount val="1"/>
                <c:pt idx="0">
                  <c:v>Moterys</c:v>
                </c:pt>
              </c:strCache>
            </c:strRef>
          </c:tx>
          <c:spPr>
            <a:solidFill>
              <a:srgbClr val="FF0000"/>
            </a:solidFill>
          </c:spPr>
          <c:invertIfNegative val="0"/>
          <c:dLbls>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Lapas1!$C$2:$C$4</c:f>
              <c:numCache>
                <c:formatCode>General</c:formatCode>
                <c:ptCount val="3"/>
                <c:pt idx="0">
                  <c:v>366</c:v>
                </c:pt>
                <c:pt idx="1">
                  <c:v>327</c:v>
                </c:pt>
                <c:pt idx="2">
                  <c:v>305</c:v>
                </c:pt>
              </c:numCache>
            </c:numRef>
          </c:val>
        </c:ser>
        <c:dLbls>
          <c:showLegendKey val="0"/>
          <c:showVal val="0"/>
          <c:showCatName val="0"/>
          <c:showSerName val="0"/>
          <c:showPercent val="0"/>
          <c:showBubbleSize val="0"/>
        </c:dLbls>
        <c:gapWidth val="150"/>
        <c:overlap val="-25"/>
        <c:axId val="109654400"/>
        <c:axId val="109655936"/>
      </c:barChart>
      <c:catAx>
        <c:axId val="109654400"/>
        <c:scaling>
          <c:orientation val="minMax"/>
        </c:scaling>
        <c:delete val="0"/>
        <c:axPos val="b"/>
        <c:majorGridlines/>
        <c:majorTickMark val="out"/>
        <c:minorTickMark val="none"/>
        <c:tickLblPos val="nextTo"/>
        <c:crossAx val="109655936"/>
        <c:crosses val="autoZero"/>
        <c:auto val="1"/>
        <c:lblAlgn val="ctr"/>
        <c:lblOffset val="100"/>
        <c:noMultiLvlLbl val="0"/>
      </c:catAx>
      <c:valAx>
        <c:axId val="109655936"/>
        <c:scaling>
          <c:orientation val="minMax"/>
        </c:scaling>
        <c:delete val="0"/>
        <c:axPos val="l"/>
        <c:numFmt formatCode="General" sourceLinked="1"/>
        <c:majorTickMark val="out"/>
        <c:minorTickMark val="none"/>
        <c:tickLblPos val="nextTo"/>
        <c:crossAx val="109654400"/>
        <c:crosses val="autoZero"/>
        <c:crossBetween val="between"/>
      </c:valAx>
    </c:plotArea>
    <c:legend>
      <c:legendPos val="r"/>
      <c:overlay val="0"/>
    </c:legend>
    <c:plotVisOnly val="1"/>
    <c:dispBlanksAs val="gap"/>
    <c:showDLblsOverMax val="0"/>
  </c:chart>
  <c:txPr>
    <a:bodyPr/>
    <a:lstStyle/>
    <a:p>
      <a:pPr>
        <a:defRPr b="1" i="0" baseline="0">
          <a:latin typeface="Times New Roman" pitchFamily="18" charset="0"/>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Vyrai</c:v>
                </c:pt>
              </c:strCache>
            </c:strRef>
          </c:tx>
          <c:spPr>
            <a:ln>
              <a:solidFill>
                <a:srgbClr val="00B0F0"/>
              </a:solidFill>
            </a:ln>
          </c:spPr>
          <c:marker>
            <c:symbol val="none"/>
          </c:marker>
          <c:cat>
            <c:strRef>
              <c:f>Sheet1!$A$2:$A$11</c:f>
              <c:strCache>
                <c:ptCount val="10"/>
                <c:pt idx="0">
                  <c:v>Iki 1 m.</c:v>
                </c:pt>
                <c:pt idx="1">
                  <c:v>1-4 m.</c:v>
                </c:pt>
                <c:pt idx="2">
                  <c:v>5-14 m.</c:v>
                </c:pt>
                <c:pt idx="3">
                  <c:v>15-24 m.</c:v>
                </c:pt>
                <c:pt idx="4">
                  <c:v>25-34 m.</c:v>
                </c:pt>
                <c:pt idx="5">
                  <c:v>35-44 m.</c:v>
                </c:pt>
                <c:pt idx="6">
                  <c:v>45-54 m.</c:v>
                </c:pt>
                <c:pt idx="7">
                  <c:v>55-64 m.</c:v>
                </c:pt>
                <c:pt idx="8">
                  <c:v>65-74 m.</c:v>
                </c:pt>
                <c:pt idx="9">
                  <c:v>75 ir daugiau m.</c:v>
                </c:pt>
              </c:strCache>
            </c:strRef>
          </c:cat>
          <c:val>
            <c:numRef>
              <c:f>Sheet1!$B$2:$B$11</c:f>
              <c:numCache>
                <c:formatCode>General</c:formatCode>
                <c:ptCount val="10"/>
                <c:pt idx="0">
                  <c:v>0</c:v>
                </c:pt>
                <c:pt idx="1">
                  <c:v>0</c:v>
                </c:pt>
                <c:pt idx="2">
                  <c:v>0</c:v>
                </c:pt>
                <c:pt idx="3">
                  <c:v>7</c:v>
                </c:pt>
                <c:pt idx="4">
                  <c:v>8</c:v>
                </c:pt>
                <c:pt idx="5">
                  <c:v>20</c:v>
                </c:pt>
                <c:pt idx="6">
                  <c:v>21</c:v>
                </c:pt>
                <c:pt idx="7">
                  <c:v>73</c:v>
                </c:pt>
                <c:pt idx="8">
                  <c:v>70</c:v>
                </c:pt>
                <c:pt idx="9">
                  <c:v>122</c:v>
                </c:pt>
              </c:numCache>
            </c:numRef>
          </c:val>
          <c:smooth val="0"/>
        </c:ser>
        <c:ser>
          <c:idx val="1"/>
          <c:order val="1"/>
          <c:tx>
            <c:strRef>
              <c:f>Sheet1!$C$1</c:f>
              <c:strCache>
                <c:ptCount val="1"/>
                <c:pt idx="0">
                  <c:v>Moterys</c:v>
                </c:pt>
              </c:strCache>
            </c:strRef>
          </c:tx>
          <c:spPr>
            <a:ln>
              <a:solidFill>
                <a:srgbClr val="FF0000"/>
              </a:solidFill>
            </a:ln>
          </c:spPr>
          <c:marker>
            <c:symbol val="none"/>
          </c:marker>
          <c:cat>
            <c:strRef>
              <c:f>Sheet1!$A$2:$A$11</c:f>
              <c:strCache>
                <c:ptCount val="10"/>
                <c:pt idx="0">
                  <c:v>Iki 1 m.</c:v>
                </c:pt>
                <c:pt idx="1">
                  <c:v>1-4 m.</c:v>
                </c:pt>
                <c:pt idx="2">
                  <c:v>5-14 m.</c:v>
                </c:pt>
                <c:pt idx="3">
                  <c:v>15-24 m.</c:v>
                </c:pt>
                <c:pt idx="4">
                  <c:v>25-34 m.</c:v>
                </c:pt>
                <c:pt idx="5">
                  <c:v>35-44 m.</c:v>
                </c:pt>
                <c:pt idx="6">
                  <c:v>45-54 m.</c:v>
                </c:pt>
                <c:pt idx="7">
                  <c:v>55-64 m.</c:v>
                </c:pt>
                <c:pt idx="8">
                  <c:v>65-74 m.</c:v>
                </c:pt>
                <c:pt idx="9">
                  <c:v>75 ir daugiau m.</c:v>
                </c:pt>
              </c:strCache>
            </c:strRef>
          </c:cat>
          <c:val>
            <c:numRef>
              <c:f>Sheet1!$C$2:$C$11</c:f>
              <c:numCache>
                <c:formatCode>General</c:formatCode>
                <c:ptCount val="10"/>
                <c:pt idx="0">
                  <c:v>1</c:v>
                </c:pt>
                <c:pt idx="1">
                  <c:v>0</c:v>
                </c:pt>
                <c:pt idx="2">
                  <c:v>0</c:v>
                </c:pt>
                <c:pt idx="3">
                  <c:v>1</c:v>
                </c:pt>
                <c:pt idx="4">
                  <c:v>1</c:v>
                </c:pt>
                <c:pt idx="5">
                  <c:v>3</c:v>
                </c:pt>
                <c:pt idx="6">
                  <c:v>12</c:v>
                </c:pt>
                <c:pt idx="7">
                  <c:v>29</c:v>
                </c:pt>
                <c:pt idx="8">
                  <c:v>40</c:v>
                </c:pt>
                <c:pt idx="9">
                  <c:v>218</c:v>
                </c:pt>
              </c:numCache>
            </c:numRef>
          </c:val>
          <c:smooth val="0"/>
        </c:ser>
        <c:dLbls>
          <c:showLegendKey val="0"/>
          <c:showVal val="0"/>
          <c:showCatName val="0"/>
          <c:showSerName val="0"/>
          <c:showPercent val="0"/>
          <c:showBubbleSize val="0"/>
        </c:dLbls>
        <c:marker val="1"/>
        <c:smooth val="0"/>
        <c:axId val="109672704"/>
        <c:axId val="109678592"/>
      </c:lineChart>
      <c:catAx>
        <c:axId val="109672704"/>
        <c:scaling>
          <c:orientation val="minMax"/>
        </c:scaling>
        <c:delete val="0"/>
        <c:axPos val="b"/>
        <c:majorTickMark val="out"/>
        <c:minorTickMark val="none"/>
        <c:tickLblPos val="nextTo"/>
        <c:crossAx val="109678592"/>
        <c:crosses val="autoZero"/>
        <c:auto val="1"/>
        <c:lblAlgn val="ctr"/>
        <c:lblOffset val="100"/>
        <c:noMultiLvlLbl val="0"/>
      </c:catAx>
      <c:valAx>
        <c:axId val="109678592"/>
        <c:scaling>
          <c:orientation val="minMax"/>
        </c:scaling>
        <c:delete val="0"/>
        <c:axPos val="l"/>
        <c:majorGridlines/>
        <c:numFmt formatCode="General" sourceLinked="1"/>
        <c:majorTickMark val="out"/>
        <c:minorTickMark val="none"/>
        <c:tickLblPos val="nextTo"/>
        <c:crossAx val="10967270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5965</Words>
  <Characters>3401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AGNĖ</cp:lastModifiedBy>
  <cp:revision>2</cp:revision>
  <dcterms:created xsi:type="dcterms:W3CDTF">2015-11-09T14:56:00Z</dcterms:created>
  <dcterms:modified xsi:type="dcterms:W3CDTF">2015-11-09T14:56:00Z</dcterms:modified>
</cp:coreProperties>
</file>